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0EA6B">
      <w:pPr>
        <w:ind w:firstLine="640" w:firstLineChars="200"/>
        <w:jc w:val="center"/>
        <w:rPr>
          <w:rFonts w:hint="eastAsia" w:ascii="仿宋" w:hAnsi="仿宋" w:eastAsia="仿宋" w:cs="仿宋"/>
          <w:sz w:val="24"/>
        </w:rPr>
      </w:pPr>
      <w:r>
        <w:rPr>
          <w:rFonts w:hint="eastAsia" w:ascii="仿宋" w:hAnsi="仿宋" w:eastAsia="仿宋" w:cs="仿宋"/>
          <w:sz w:val="32"/>
          <w:szCs w:val="32"/>
        </w:rPr>
        <w:t>需求清单</w:t>
      </w:r>
    </w:p>
    <w:p w14:paraId="29110710">
      <w:pPr>
        <w:ind w:firstLine="480" w:firstLineChars="200"/>
        <w:jc w:val="left"/>
        <w:rPr>
          <w:rFonts w:ascii="仿宋" w:hAnsi="仿宋" w:eastAsia="仿宋" w:cs="仿宋"/>
          <w:iCs/>
          <w:sz w:val="24"/>
        </w:rPr>
      </w:pPr>
      <w:r>
        <w:rPr>
          <w:rFonts w:hint="eastAsia" w:ascii="仿宋" w:hAnsi="仿宋" w:eastAsia="仿宋" w:cs="仿宋"/>
          <w:iCs/>
          <w:sz w:val="24"/>
        </w:rPr>
        <w:t>（一）项目基本情况</w:t>
      </w:r>
    </w:p>
    <w:p w14:paraId="660AE51B">
      <w:pPr>
        <w:ind w:firstLine="480" w:firstLineChars="200"/>
        <w:jc w:val="left"/>
        <w:rPr>
          <w:rFonts w:ascii="仿宋" w:hAnsi="仿宋" w:eastAsia="仿宋" w:cs="仿宋"/>
          <w:iCs/>
          <w:sz w:val="24"/>
        </w:rPr>
      </w:pPr>
      <w:r>
        <w:rPr>
          <w:rFonts w:hint="eastAsia" w:ascii="仿宋" w:hAnsi="仿宋" w:eastAsia="仿宋" w:cs="仿宋"/>
          <w:iCs/>
          <w:sz w:val="24"/>
        </w:rPr>
        <w:t>海南热带海洋学院（Hainan Tropical Ocean University）是由自然资源部、海南省人民政府、中国海洋石油总公司、三亚市人民政府“四方共建”的全日制公办普通本科省属高校，是国务院学位委员会批准的硕士学位授予单位，是海南省立项建设的博士学位授权单位，是卓然屹立在祖国最南端的公办大学，是国家唯一的热带海洋大学。学校是外交部、教育部“中国—东盟教育培训中心”、教育部十大“教育援外基地”之一，是上海合作组织大学中方成员院校，也是琼中琼南少数民族地区人才培养的摇篮和知识创新、社会服务、文化传承、国际交流与合作的基地。</w:t>
      </w:r>
    </w:p>
    <w:p w14:paraId="35CA3D37">
      <w:pPr>
        <w:ind w:firstLine="480" w:firstLineChars="200"/>
        <w:jc w:val="left"/>
        <w:rPr>
          <w:rFonts w:hint="eastAsia" w:ascii="仿宋" w:hAnsi="仿宋" w:eastAsia="仿宋" w:cs="仿宋"/>
          <w:iCs/>
          <w:sz w:val="24"/>
        </w:rPr>
      </w:pPr>
      <w:r>
        <w:rPr>
          <w:rFonts w:hint="eastAsia" w:ascii="仿宋" w:hAnsi="仿宋" w:eastAsia="仿宋" w:cs="仿宋"/>
          <w:iCs/>
          <w:sz w:val="24"/>
        </w:rPr>
        <w:t>海南热带海洋学院三亚校区位于三亚市吉阳区育才路1号，为做好三亚校区新投入使用楼宇的卫生保洁、水电管理、维修维护、电梯管理、绿化养护等物业服务工作和留学生公寓的物业管理工作，需要聘请专业的物业公司负责该项物业服务公司，经学校决定同意通过招标方式确定专业物业服务单位，物业服务的楼宇包括：专家公寓楼、东盟合作教育综合楼、留学生公寓及周边的外环境。</w:t>
      </w:r>
    </w:p>
    <w:p w14:paraId="0DF09378">
      <w:pPr>
        <w:ind w:firstLine="480" w:firstLineChars="200"/>
        <w:jc w:val="left"/>
        <w:rPr>
          <w:rFonts w:ascii="仿宋" w:hAnsi="仿宋" w:eastAsia="仿宋" w:cs="仿宋"/>
          <w:iCs/>
          <w:sz w:val="24"/>
        </w:rPr>
      </w:pPr>
    </w:p>
    <w:p w14:paraId="46BC88E1">
      <w:pPr>
        <w:ind w:firstLine="480" w:firstLineChars="200"/>
        <w:jc w:val="left"/>
        <w:rPr>
          <w:rFonts w:hint="eastAsia" w:ascii="仿宋" w:hAnsi="仿宋" w:eastAsia="仿宋" w:cs="仿宋"/>
          <w:iCs/>
          <w:sz w:val="24"/>
        </w:rPr>
      </w:pPr>
      <w:r>
        <w:rPr>
          <w:rFonts w:hint="eastAsia" w:ascii="仿宋" w:hAnsi="仿宋" w:eastAsia="仿宋" w:cs="仿宋"/>
          <w:iCs/>
          <w:sz w:val="24"/>
        </w:rPr>
        <w:t>（二）服务范围</w:t>
      </w:r>
    </w:p>
    <w:p w14:paraId="5B057762">
      <w:pPr>
        <w:ind w:firstLine="480" w:firstLineChars="200"/>
        <w:jc w:val="left"/>
        <w:rPr>
          <w:rFonts w:ascii="仿宋" w:hAnsi="仿宋" w:eastAsia="仿宋" w:cs="仿宋"/>
          <w:iCs/>
          <w:sz w:val="24"/>
        </w:rPr>
      </w:pPr>
      <w:r>
        <w:rPr>
          <w:rFonts w:hint="eastAsia" w:ascii="仿宋" w:hAnsi="仿宋" w:eastAsia="仿宋" w:cs="仿宋"/>
          <w:iCs/>
          <w:sz w:val="24"/>
        </w:rPr>
        <w:t>专家公寓楼、东盟合作教育综合楼、留学生公寓基本情况</w:t>
      </w:r>
    </w:p>
    <w:tbl>
      <w:tblPr>
        <w:tblStyle w:val="4"/>
        <w:tblW w:w="8364" w:type="dxa"/>
        <w:tblInd w:w="-5" w:type="dxa"/>
        <w:tblLayout w:type="autofit"/>
        <w:tblCellMar>
          <w:top w:w="0" w:type="dxa"/>
          <w:left w:w="108" w:type="dxa"/>
          <w:bottom w:w="0" w:type="dxa"/>
          <w:right w:w="108" w:type="dxa"/>
        </w:tblCellMar>
      </w:tblPr>
      <w:tblGrid>
        <w:gridCol w:w="822"/>
        <w:gridCol w:w="1730"/>
        <w:gridCol w:w="1559"/>
        <w:gridCol w:w="1418"/>
        <w:gridCol w:w="1417"/>
        <w:gridCol w:w="1418"/>
      </w:tblGrid>
      <w:tr w14:paraId="3C518596">
        <w:tblPrEx>
          <w:tblCellMar>
            <w:top w:w="0" w:type="dxa"/>
            <w:left w:w="108" w:type="dxa"/>
            <w:bottom w:w="0" w:type="dxa"/>
            <w:right w:w="108" w:type="dxa"/>
          </w:tblCellMar>
        </w:tblPrEx>
        <w:trPr>
          <w:trHeight w:val="522" w:hRule="atLeast"/>
        </w:trPr>
        <w:tc>
          <w:tcPr>
            <w:tcW w:w="8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0E609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1730" w:type="dxa"/>
            <w:tcBorders>
              <w:top w:val="single" w:color="auto" w:sz="4" w:space="0"/>
              <w:left w:val="nil"/>
              <w:bottom w:val="single" w:color="auto" w:sz="4" w:space="0"/>
              <w:right w:val="single" w:color="auto" w:sz="4" w:space="0"/>
            </w:tcBorders>
            <w:shd w:val="clear" w:color="auto" w:fill="auto"/>
            <w:noWrap/>
            <w:vAlign w:val="center"/>
          </w:tcPr>
          <w:p w14:paraId="2AB2068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服务内容</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791D71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专家公寓</w:t>
            </w:r>
          </w:p>
        </w:tc>
        <w:tc>
          <w:tcPr>
            <w:tcW w:w="1418" w:type="dxa"/>
            <w:tcBorders>
              <w:top w:val="single" w:color="auto" w:sz="4" w:space="0"/>
              <w:left w:val="nil"/>
              <w:bottom w:val="single" w:color="auto" w:sz="4" w:space="0"/>
              <w:right w:val="single" w:color="auto" w:sz="4" w:space="0"/>
            </w:tcBorders>
            <w:shd w:val="clear" w:color="auto" w:fill="auto"/>
            <w:noWrap/>
            <w:vAlign w:val="center"/>
          </w:tcPr>
          <w:p w14:paraId="22F30DD4">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东盟楼</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30BAEC4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留学生公寓</w:t>
            </w:r>
          </w:p>
        </w:tc>
        <w:tc>
          <w:tcPr>
            <w:tcW w:w="1418" w:type="dxa"/>
            <w:tcBorders>
              <w:top w:val="single" w:color="auto" w:sz="4" w:space="0"/>
              <w:left w:val="nil"/>
              <w:bottom w:val="single" w:color="auto" w:sz="4" w:space="0"/>
              <w:right w:val="single" w:color="auto" w:sz="4" w:space="0"/>
            </w:tcBorders>
            <w:shd w:val="clear" w:color="auto" w:fill="auto"/>
            <w:noWrap/>
            <w:vAlign w:val="center"/>
          </w:tcPr>
          <w:p w14:paraId="6CF2DEA9">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合计</w:t>
            </w:r>
          </w:p>
        </w:tc>
      </w:tr>
      <w:tr w14:paraId="43CCCCC6">
        <w:tblPrEx>
          <w:tblCellMar>
            <w:top w:w="0" w:type="dxa"/>
            <w:left w:w="108" w:type="dxa"/>
            <w:bottom w:w="0" w:type="dxa"/>
            <w:right w:w="108" w:type="dxa"/>
          </w:tblCellMar>
        </w:tblPrEx>
        <w:trPr>
          <w:trHeight w:val="522" w:hRule="atLeast"/>
        </w:trPr>
        <w:tc>
          <w:tcPr>
            <w:tcW w:w="822" w:type="dxa"/>
            <w:tcBorders>
              <w:top w:val="nil"/>
              <w:left w:val="single" w:color="auto" w:sz="4" w:space="0"/>
              <w:bottom w:val="single" w:color="auto" w:sz="4" w:space="0"/>
              <w:right w:val="single" w:color="auto" w:sz="4" w:space="0"/>
            </w:tcBorders>
            <w:shd w:val="clear" w:color="auto" w:fill="auto"/>
            <w:noWrap/>
            <w:vAlign w:val="center"/>
          </w:tcPr>
          <w:p w14:paraId="017A3482">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1730" w:type="dxa"/>
            <w:tcBorders>
              <w:top w:val="nil"/>
              <w:left w:val="nil"/>
              <w:bottom w:val="single" w:color="auto" w:sz="4" w:space="0"/>
              <w:right w:val="single" w:color="auto" w:sz="4" w:space="0"/>
            </w:tcBorders>
            <w:shd w:val="clear" w:color="auto" w:fill="auto"/>
            <w:noWrap/>
            <w:vAlign w:val="center"/>
          </w:tcPr>
          <w:p w14:paraId="6E5B3DB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建筑面积（㎡）</w:t>
            </w:r>
          </w:p>
        </w:tc>
        <w:tc>
          <w:tcPr>
            <w:tcW w:w="1559" w:type="dxa"/>
            <w:tcBorders>
              <w:top w:val="nil"/>
              <w:left w:val="nil"/>
              <w:bottom w:val="single" w:color="auto" w:sz="4" w:space="0"/>
              <w:right w:val="single" w:color="auto" w:sz="4" w:space="0"/>
            </w:tcBorders>
            <w:shd w:val="clear" w:color="auto" w:fill="auto"/>
            <w:noWrap/>
            <w:vAlign w:val="center"/>
          </w:tcPr>
          <w:p w14:paraId="2CB37ECF">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36180</w:t>
            </w:r>
          </w:p>
        </w:tc>
        <w:tc>
          <w:tcPr>
            <w:tcW w:w="1418" w:type="dxa"/>
            <w:tcBorders>
              <w:top w:val="nil"/>
              <w:left w:val="nil"/>
              <w:bottom w:val="single" w:color="auto" w:sz="4" w:space="0"/>
              <w:right w:val="single" w:color="auto" w:sz="4" w:space="0"/>
            </w:tcBorders>
            <w:shd w:val="clear" w:color="auto" w:fill="auto"/>
            <w:noWrap/>
            <w:vAlign w:val="center"/>
          </w:tcPr>
          <w:p w14:paraId="212771C1">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27460</w:t>
            </w:r>
          </w:p>
        </w:tc>
        <w:tc>
          <w:tcPr>
            <w:tcW w:w="1417" w:type="dxa"/>
            <w:tcBorders>
              <w:top w:val="nil"/>
              <w:left w:val="nil"/>
              <w:bottom w:val="single" w:color="auto" w:sz="4" w:space="0"/>
              <w:right w:val="single" w:color="auto" w:sz="4" w:space="0"/>
            </w:tcBorders>
            <w:shd w:val="clear" w:color="auto" w:fill="auto"/>
            <w:noWrap/>
            <w:vAlign w:val="center"/>
          </w:tcPr>
          <w:p w14:paraId="2CFFF4C9">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22700</w:t>
            </w:r>
          </w:p>
        </w:tc>
        <w:tc>
          <w:tcPr>
            <w:tcW w:w="1418" w:type="dxa"/>
            <w:tcBorders>
              <w:top w:val="nil"/>
              <w:left w:val="nil"/>
              <w:bottom w:val="single" w:color="auto" w:sz="4" w:space="0"/>
              <w:right w:val="single" w:color="auto" w:sz="4" w:space="0"/>
            </w:tcBorders>
            <w:shd w:val="clear" w:color="auto" w:fill="auto"/>
            <w:noWrap/>
            <w:vAlign w:val="center"/>
          </w:tcPr>
          <w:p w14:paraId="2CA8A39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86340</w:t>
            </w:r>
          </w:p>
        </w:tc>
      </w:tr>
      <w:tr w14:paraId="7BD8E351">
        <w:tblPrEx>
          <w:tblCellMar>
            <w:top w:w="0" w:type="dxa"/>
            <w:left w:w="108" w:type="dxa"/>
            <w:bottom w:w="0" w:type="dxa"/>
            <w:right w:w="108" w:type="dxa"/>
          </w:tblCellMar>
        </w:tblPrEx>
        <w:trPr>
          <w:trHeight w:val="522" w:hRule="atLeast"/>
        </w:trPr>
        <w:tc>
          <w:tcPr>
            <w:tcW w:w="822" w:type="dxa"/>
            <w:tcBorders>
              <w:top w:val="nil"/>
              <w:left w:val="single" w:color="auto" w:sz="4" w:space="0"/>
              <w:bottom w:val="single" w:color="auto" w:sz="4" w:space="0"/>
              <w:right w:val="single" w:color="auto" w:sz="4" w:space="0"/>
            </w:tcBorders>
            <w:shd w:val="clear" w:color="auto" w:fill="auto"/>
            <w:noWrap/>
            <w:vAlign w:val="center"/>
          </w:tcPr>
          <w:p w14:paraId="339AE43F">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1730" w:type="dxa"/>
            <w:tcBorders>
              <w:top w:val="nil"/>
              <w:left w:val="nil"/>
              <w:bottom w:val="single" w:color="auto" w:sz="4" w:space="0"/>
              <w:right w:val="single" w:color="auto" w:sz="4" w:space="0"/>
            </w:tcBorders>
            <w:shd w:val="clear" w:color="auto" w:fill="auto"/>
            <w:noWrap/>
            <w:vAlign w:val="center"/>
          </w:tcPr>
          <w:p w14:paraId="1383AC32">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绿化面积（㎡）</w:t>
            </w:r>
          </w:p>
        </w:tc>
        <w:tc>
          <w:tcPr>
            <w:tcW w:w="1559" w:type="dxa"/>
            <w:tcBorders>
              <w:top w:val="nil"/>
              <w:left w:val="nil"/>
              <w:bottom w:val="single" w:color="auto" w:sz="4" w:space="0"/>
              <w:right w:val="single" w:color="auto" w:sz="4" w:space="0"/>
            </w:tcBorders>
            <w:shd w:val="clear" w:color="auto" w:fill="auto"/>
            <w:noWrap/>
            <w:vAlign w:val="center"/>
          </w:tcPr>
          <w:p w14:paraId="779BBC1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1560</w:t>
            </w:r>
          </w:p>
        </w:tc>
        <w:tc>
          <w:tcPr>
            <w:tcW w:w="1418" w:type="dxa"/>
            <w:tcBorders>
              <w:top w:val="nil"/>
              <w:left w:val="nil"/>
              <w:bottom w:val="single" w:color="auto" w:sz="4" w:space="0"/>
              <w:right w:val="single" w:color="auto" w:sz="4" w:space="0"/>
            </w:tcBorders>
            <w:shd w:val="clear" w:color="auto" w:fill="auto"/>
            <w:noWrap/>
            <w:vAlign w:val="center"/>
          </w:tcPr>
          <w:p w14:paraId="0F0D69C3">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3030</w:t>
            </w:r>
          </w:p>
        </w:tc>
        <w:tc>
          <w:tcPr>
            <w:tcW w:w="1417" w:type="dxa"/>
            <w:tcBorders>
              <w:top w:val="nil"/>
              <w:left w:val="nil"/>
              <w:bottom w:val="single" w:color="auto" w:sz="4" w:space="0"/>
              <w:right w:val="single" w:color="auto" w:sz="4" w:space="0"/>
            </w:tcBorders>
            <w:shd w:val="clear" w:color="auto" w:fill="auto"/>
            <w:noWrap/>
            <w:vAlign w:val="center"/>
          </w:tcPr>
          <w:p w14:paraId="79148ED6">
            <w:pPr>
              <w:widowControl/>
              <w:jc w:val="center"/>
              <w:rPr>
                <w:rFonts w:ascii="宋体" w:hAnsi="宋体" w:eastAsia="宋体" w:cs="宋体"/>
                <w:color w:val="000000"/>
                <w:kern w:val="0"/>
                <w:sz w:val="24"/>
              </w:rPr>
            </w:pPr>
            <w:r>
              <w:rPr>
                <w:rFonts w:ascii="宋体" w:hAnsi="宋体" w:eastAsia="宋体" w:cs="宋体"/>
                <w:color w:val="000000"/>
                <w:kern w:val="0"/>
                <w:sz w:val="24"/>
              </w:rPr>
              <w:t>---</w:t>
            </w:r>
          </w:p>
        </w:tc>
        <w:tc>
          <w:tcPr>
            <w:tcW w:w="1418" w:type="dxa"/>
            <w:tcBorders>
              <w:top w:val="nil"/>
              <w:left w:val="nil"/>
              <w:bottom w:val="single" w:color="auto" w:sz="4" w:space="0"/>
              <w:right w:val="single" w:color="auto" w:sz="4" w:space="0"/>
            </w:tcBorders>
            <w:shd w:val="clear" w:color="auto" w:fill="auto"/>
            <w:noWrap/>
            <w:vAlign w:val="center"/>
          </w:tcPr>
          <w:p w14:paraId="4249CAEA">
            <w:pPr>
              <w:widowControl/>
              <w:jc w:val="center"/>
              <w:rPr>
                <w:rFonts w:ascii="宋体" w:hAnsi="宋体" w:eastAsia="宋体" w:cs="宋体"/>
                <w:color w:val="000000"/>
                <w:kern w:val="0"/>
                <w:sz w:val="24"/>
              </w:rPr>
            </w:pPr>
            <w:r>
              <w:rPr>
                <w:rFonts w:ascii="宋体" w:hAnsi="宋体" w:eastAsia="宋体" w:cs="宋体"/>
                <w:color w:val="000000"/>
                <w:kern w:val="0"/>
                <w:sz w:val="24"/>
              </w:rPr>
              <w:t>4590</w:t>
            </w:r>
          </w:p>
        </w:tc>
      </w:tr>
      <w:tr w14:paraId="547BBF52">
        <w:tblPrEx>
          <w:tblCellMar>
            <w:top w:w="0" w:type="dxa"/>
            <w:left w:w="108" w:type="dxa"/>
            <w:bottom w:w="0" w:type="dxa"/>
            <w:right w:w="108" w:type="dxa"/>
          </w:tblCellMar>
        </w:tblPrEx>
        <w:trPr>
          <w:trHeight w:val="522" w:hRule="atLeast"/>
        </w:trPr>
        <w:tc>
          <w:tcPr>
            <w:tcW w:w="822" w:type="dxa"/>
            <w:tcBorders>
              <w:top w:val="nil"/>
              <w:left w:val="single" w:color="auto" w:sz="4" w:space="0"/>
              <w:bottom w:val="single" w:color="auto" w:sz="4" w:space="0"/>
              <w:right w:val="single" w:color="auto" w:sz="4" w:space="0"/>
            </w:tcBorders>
            <w:shd w:val="clear" w:color="auto" w:fill="auto"/>
            <w:noWrap/>
            <w:vAlign w:val="center"/>
          </w:tcPr>
          <w:p w14:paraId="7AB9EF5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1730" w:type="dxa"/>
            <w:tcBorders>
              <w:top w:val="nil"/>
              <w:left w:val="nil"/>
              <w:bottom w:val="single" w:color="auto" w:sz="4" w:space="0"/>
              <w:right w:val="single" w:color="auto" w:sz="4" w:space="0"/>
            </w:tcBorders>
            <w:shd w:val="clear" w:color="auto" w:fill="auto"/>
            <w:noWrap/>
            <w:vAlign w:val="center"/>
          </w:tcPr>
          <w:p w14:paraId="2F28F6B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户外卫生面积（㎡）（包含：户外停车场、道路、广场等）</w:t>
            </w:r>
          </w:p>
        </w:tc>
        <w:tc>
          <w:tcPr>
            <w:tcW w:w="1559" w:type="dxa"/>
            <w:tcBorders>
              <w:top w:val="nil"/>
              <w:left w:val="nil"/>
              <w:bottom w:val="single" w:color="auto" w:sz="4" w:space="0"/>
              <w:right w:val="single" w:color="auto" w:sz="4" w:space="0"/>
            </w:tcBorders>
            <w:shd w:val="clear" w:color="auto" w:fill="auto"/>
            <w:noWrap/>
            <w:vAlign w:val="center"/>
          </w:tcPr>
          <w:p w14:paraId="7420A564">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1930</w:t>
            </w:r>
          </w:p>
        </w:tc>
        <w:tc>
          <w:tcPr>
            <w:tcW w:w="1418" w:type="dxa"/>
            <w:tcBorders>
              <w:top w:val="nil"/>
              <w:left w:val="nil"/>
              <w:bottom w:val="single" w:color="auto" w:sz="4" w:space="0"/>
              <w:right w:val="single" w:color="auto" w:sz="4" w:space="0"/>
            </w:tcBorders>
            <w:shd w:val="clear" w:color="auto" w:fill="auto"/>
            <w:noWrap/>
            <w:vAlign w:val="center"/>
          </w:tcPr>
          <w:p w14:paraId="391F50FD">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3780</w:t>
            </w:r>
          </w:p>
        </w:tc>
        <w:tc>
          <w:tcPr>
            <w:tcW w:w="1417" w:type="dxa"/>
            <w:tcBorders>
              <w:top w:val="nil"/>
              <w:left w:val="nil"/>
              <w:bottom w:val="single" w:color="auto" w:sz="4" w:space="0"/>
              <w:right w:val="single" w:color="auto" w:sz="4" w:space="0"/>
            </w:tcBorders>
            <w:shd w:val="clear" w:color="auto" w:fill="auto"/>
            <w:noWrap/>
            <w:vAlign w:val="center"/>
          </w:tcPr>
          <w:p w14:paraId="2D93395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5105</w:t>
            </w:r>
          </w:p>
        </w:tc>
        <w:tc>
          <w:tcPr>
            <w:tcW w:w="1418" w:type="dxa"/>
            <w:tcBorders>
              <w:top w:val="nil"/>
              <w:left w:val="nil"/>
              <w:bottom w:val="single" w:color="auto" w:sz="4" w:space="0"/>
              <w:right w:val="single" w:color="auto" w:sz="4" w:space="0"/>
            </w:tcBorders>
            <w:shd w:val="clear" w:color="auto" w:fill="auto"/>
            <w:noWrap/>
            <w:vAlign w:val="center"/>
          </w:tcPr>
          <w:p w14:paraId="59F8D87D">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10815</w:t>
            </w:r>
          </w:p>
        </w:tc>
      </w:tr>
      <w:tr w14:paraId="1C9B9059">
        <w:tblPrEx>
          <w:tblCellMar>
            <w:top w:w="0" w:type="dxa"/>
            <w:left w:w="108" w:type="dxa"/>
            <w:bottom w:w="0" w:type="dxa"/>
            <w:right w:w="108" w:type="dxa"/>
          </w:tblCellMar>
        </w:tblPrEx>
        <w:trPr>
          <w:trHeight w:val="522" w:hRule="atLeast"/>
        </w:trPr>
        <w:tc>
          <w:tcPr>
            <w:tcW w:w="822" w:type="dxa"/>
            <w:tcBorders>
              <w:top w:val="nil"/>
              <w:left w:val="single" w:color="auto" w:sz="4" w:space="0"/>
              <w:bottom w:val="single" w:color="auto" w:sz="4" w:space="0"/>
              <w:right w:val="single" w:color="auto" w:sz="4" w:space="0"/>
            </w:tcBorders>
            <w:shd w:val="clear" w:color="auto" w:fill="auto"/>
            <w:noWrap/>
            <w:vAlign w:val="center"/>
          </w:tcPr>
          <w:p w14:paraId="21A98424">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1730" w:type="dxa"/>
            <w:tcBorders>
              <w:top w:val="nil"/>
              <w:left w:val="nil"/>
              <w:bottom w:val="single" w:color="auto" w:sz="4" w:space="0"/>
              <w:right w:val="single" w:color="auto" w:sz="4" w:space="0"/>
            </w:tcBorders>
            <w:shd w:val="clear" w:color="auto" w:fill="auto"/>
            <w:noWrap/>
            <w:vAlign w:val="center"/>
          </w:tcPr>
          <w:p w14:paraId="1B1A8882">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教室面积（㎡）约</w:t>
            </w:r>
            <w:r>
              <w:rPr>
                <w:rFonts w:ascii="宋体" w:hAnsi="宋体" w:eastAsia="宋体" w:cs="宋体"/>
                <w:color w:val="000000"/>
                <w:kern w:val="0"/>
                <w:sz w:val="24"/>
              </w:rPr>
              <w:t>30</w:t>
            </w:r>
            <w:r>
              <w:rPr>
                <w:rFonts w:hint="eastAsia" w:ascii="宋体" w:hAnsi="宋体" w:eastAsia="宋体" w:cs="宋体"/>
                <w:color w:val="000000"/>
                <w:kern w:val="0"/>
                <w:sz w:val="24"/>
              </w:rPr>
              <w:t>间</w:t>
            </w:r>
          </w:p>
        </w:tc>
        <w:tc>
          <w:tcPr>
            <w:tcW w:w="1559" w:type="dxa"/>
            <w:tcBorders>
              <w:top w:val="nil"/>
              <w:left w:val="nil"/>
              <w:bottom w:val="single" w:color="auto" w:sz="4" w:space="0"/>
              <w:right w:val="single" w:color="auto" w:sz="4" w:space="0"/>
            </w:tcBorders>
            <w:shd w:val="clear" w:color="auto" w:fill="auto"/>
            <w:noWrap/>
            <w:vAlign w:val="center"/>
          </w:tcPr>
          <w:p w14:paraId="6D9042F1">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0</w:t>
            </w:r>
          </w:p>
        </w:tc>
        <w:tc>
          <w:tcPr>
            <w:tcW w:w="1418" w:type="dxa"/>
            <w:tcBorders>
              <w:top w:val="nil"/>
              <w:left w:val="nil"/>
              <w:bottom w:val="single" w:color="auto" w:sz="4" w:space="0"/>
              <w:right w:val="single" w:color="auto" w:sz="4" w:space="0"/>
            </w:tcBorders>
            <w:shd w:val="clear" w:color="auto" w:fill="auto"/>
            <w:noWrap/>
            <w:vAlign w:val="center"/>
          </w:tcPr>
          <w:p w14:paraId="3409184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2600</w:t>
            </w:r>
          </w:p>
        </w:tc>
        <w:tc>
          <w:tcPr>
            <w:tcW w:w="1417" w:type="dxa"/>
            <w:tcBorders>
              <w:top w:val="nil"/>
              <w:left w:val="nil"/>
              <w:bottom w:val="single" w:color="auto" w:sz="4" w:space="0"/>
              <w:right w:val="single" w:color="auto" w:sz="4" w:space="0"/>
            </w:tcBorders>
            <w:shd w:val="clear" w:color="auto" w:fill="auto"/>
            <w:noWrap/>
            <w:vAlign w:val="center"/>
          </w:tcPr>
          <w:p w14:paraId="6ECBF2C1">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0</w:t>
            </w:r>
          </w:p>
        </w:tc>
        <w:tc>
          <w:tcPr>
            <w:tcW w:w="1418" w:type="dxa"/>
            <w:tcBorders>
              <w:top w:val="nil"/>
              <w:left w:val="nil"/>
              <w:bottom w:val="single" w:color="auto" w:sz="4" w:space="0"/>
              <w:right w:val="single" w:color="auto" w:sz="4" w:space="0"/>
            </w:tcBorders>
            <w:shd w:val="clear" w:color="auto" w:fill="auto"/>
            <w:noWrap/>
            <w:vAlign w:val="center"/>
          </w:tcPr>
          <w:p w14:paraId="71E7955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2600</w:t>
            </w:r>
          </w:p>
        </w:tc>
      </w:tr>
      <w:tr w14:paraId="4130BAA2">
        <w:tblPrEx>
          <w:tblCellMar>
            <w:top w:w="0" w:type="dxa"/>
            <w:left w:w="108" w:type="dxa"/>
            <w:bottom w:w="0" w:type="dxa"/>
            <w:right w:w="108" w:type="dxa"/>
          </w:tblCellMar>
        </w:tblPrEx>
        <w:trPr>
          <w:trHeight w:val="522" w:hRule="atLeast"/>
        </w:trPr>
        <w:tc>
          <w:tcPr>
            <w:tcW w:w="822" w:type="dxa"/>
            <w:tcBorders>
              <w:top w:val="nil"/>
              <w:left w:val="single" w:color="auto" w:sz="4" w:space="0"/>
              <w:bottom w:val="single" w:color="auto" w:sz="4" w:space="0"/>
              <w:right w:val="single" w:color="auto" w:sz="4" w:space="0"/>
            </w:tcBorders>
            <w:shd w:val="clear" w:color="auto" w:fill="auto"/>
            <w:noWrap/>
            <w:vAlign w:val="center"/>
          </w:tcPr>
          <w:p w14:paraId="24B1058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1730" w:type="dxa"/>
            <w:tcBorders>
              <w:top w:val="nil"/>
              <w:left w:val="nil"/>
              <w:bottom w:val="single" w:color="auto" w:sz="4" w:space="0"/>
              <w:right w:val="single" w:color="auto" w:sz="4" w:space="0"/>
            </w:tcBorders>
            <w:shd w:val="clear" w:color="auto" w:fill="auto"/>
            <w:noWrap/>
            <w:vAlign w:val="center"/>
          </w:tcPr>
          <w:p w14:paraId="47E08E94">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电梯数量（台）</w:t>
            </w:r>
          </w:p>
        </w:tc>
        <w:tc>
          <w:tcPr>
            <w:tcW w:w="1559" w:type="dxa"/>
            <w:tcBorders>
              <w:top w:val="nil"/>
              <w:left w:val="nil"/>
              <w:bottom w:val="single" w:color="auto" w:sz="4" w:space="0"/>
              <w:right w:val="single" w:color="auto" w:sz="4" w:space="0"/>
            </w:tcBorders>
            <w:shd w:val="clear" w:color="auto" w:fill="auto"/>
            <w:noWrap/>
            <w:vAlign w:val="center"/>
          </w:tcPr>
          <w:p w14:paraId="0B4CE50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10</w:t>
            </w:r>
          </w:p>
        </w:tc>
        <w:tc>
          <w:tcPr>
            <w:tcW w:w="1418" w:type="dxa"/>
            <w:tcBorders>
              <w:top w:val="nil"/>
              <w:left w:val="nil"/>
              <w:bottom w:val="single" w:color="auto" w:sz="4" w:space="0"/>
              <w:right w:val="single" w:color="auto" w:sz="4" w:space="0"/>
            </w:tcBorders>
            <w:shd w:val="clear" w:color="auto" w:fill="auto"/>
            <w:noWrap/>
            <w:vAlign w:val="center"/>
          </w:tcPr>
          <w:p w14:paraId="1C9815F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1417" w:type="dxa"/>
            <w:tcBorders>
              <w:top w:val="nil"/>
              <w:left w:val="nil"/>
              <w:bottom w:val="single" w:color="auto" w:sz="4" w:space="0"/>
              <w:right w:val="single" w:color="auto" w:sz="4" w:space="0"/>
            </w:tcBorders>
            <w:shd w:val="clear" w:color="auto" w:fill="auto"/>
            <w:noWrap/>
            <w:vAlign w:val="center"/>
          </w:tcPr>
          <w:p w14:paraId="5828FBB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1418" w:type="dxa"/>
            <w:tcBorders>
              <w:top w:val="nil"/>
              <w:left w:val="nil"/>
              <w:bottom w:val="single" w:color="auto" w:sz="4" w:space="0"/>
              <w:right w:val="single" w:color="auto" w:sz="4" w:space="0"/>
            </w:tcBorders>
            <w:shd w:val="clear" w:color="auto" w:fill="auto"/>
            <w:noWrap/>
            <w:vAlign w:val="center"/>
          </w:tcPr>
          <w:p w14:paraId="50D49FF5">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20</w:t>
            </w:r>
          </w:p>
        </w:tc>
      </w:tr>
    </w:tbl>
    <w:p w14:paraId="3C8C3C3E">
      <w:pPr>
        <w:ind w:firstLine="480" w:firstLineChars="200"/>
        <w:rPr>
          <w:rFonts w:hint="eastAsia" w:ascii="仿宋" w:hAnsi="仿宋" w:eastAsia="仿宋" w:cs="仿宋"/>
          <w:iCs/>
          <w:sz w:val="24"/>
        </w:rPr>
      </w:pPr>
      <w:r>
        <w:rPr>
          <w:rFonts w:hint="eastAsia" w:ascii="仿宋" w:hAnsi="仿宋" w:eastAsia="仿宋" w:cs="仿宋"/>
          <w:iCs/>
          <w:sz w:val="24"/>
        </w:rPr>
        <w:t>注：具体服务内容根据楼宇实际投入为准，未服务区域双方协商扣除相应服务费用。</w:t>
      </w:r>
    </w:p>
    <w:p w14:paraId="277FEFEB">
      <w:pPr>
        <w:ind w:firstLine="480" w:firstLineChars="200"/>
        <w:rPr>
          <w:rFonts w:ascii="仿宋" w:hAnsi="仿宋" w:eastAsia="仿宋" w:cs="仿宋"/>
          <w:iCs/>
          <w:sz w:val="24"/>
        </w:rPr>
      </w:pPr>
      <w:r>
        <w:rPr>
          <w:rFonts w:hint="eastAsia" w:ascii="仿宋" w:hAnsi="仿宋" w:eastAsia="仿宋" w:cs="仿宋"/>
          <w:iCs/>
          <w:sz w:val="24"/>
        </w:rPr>
        <w:t>中标人必须按照学校作息建立详细的管理体系，依法、科学、规范管理，确保校园安全万无一失，杜绝各类安全事故，为采购人师生营造安全有序、卫生整洁、文明和谐的教学科研和生活的良好校园环境，提供细致、周到的人性化优质物业服务；自觉接受学校相关职能部门、公安机关、地方管理部门的监督、检查；积极配合学校的各项工作（节能减排、垃圾分类、劳动教育、“三全育人”等）。</w:t>
      </w:r>
    </w:p>
    <w:p w14:paraId="7E065441">
      <w:pPr>
        <w:ind w:firstLine="480" w:firstLineChars="200"/>
        <w:rPr>
          <w:rFonts w:ascii="仿宋" w:hAnsi="仿宋" w:eastAsia="仿宋" w:cs="仿宋"/>
          <w:iCs/>
          <w:sz w:val="24"/>
        </w:rPr>
      </w:pPr>
      <w:r>
        <w:rPr>
          <w:rFonts w:hint="eastAsia" w:ascii="仿宋" w:hAnsi="仿宋" w:eastAsia="仿宋" w:cs="仿宋"/>
          <w:iCs/>
          <w:sz w:val="24"/>
        </w:rPr>
        <w:t>（三）主要物业服务内容及标准</w:t>
      </w:r>
    </w:p>
    <w:p w14:paraId="000D798B">
      <w:pPr>
        <w:ind w:firstLine="480" w:firstLineChars="200"/>
        <w:rPr>
          <w:rFonts w:hint="eastAsia" w:ascii="仿宋" w:hAnsi="仿宋" w:eastAsia="仿宋" w:cs="仿宋"/>
          <w:iCs/>
          <w:sz w:val="24"/>
        </w:rPr>
      </w:pPr>
      <w:r>
        <w:rPr>
          <w:rFonts w:hint="eastAsia" w:ascii="仿宋" w:hAnsi="仿宋" w:eastAsia="仿宋" w:cs="仿宋"/>
          <w:iCs/>
          <w:sz w:val="24"/>
        </w:rPr>
        <w:t>物业管理服务包括基本服务、设施设备维修维护、楼宇管理、卫生保洁服、绿化养护等物业管理服务。</w:t>
      </w:r>
    </w:p>
    <w:p w14:paraId="430354C5">
      <w:pPr>
        <w:ind w:firstLine="960" w:firstLineChars="400"/>
        <w:rPr>
          <w:rFonts w:ascii="仿宋" w:hAnsi="仿宋" w:eastAsia="仿宋" w:cs="仿宋"/>
          <w:iCs/>
          <w:sz w:val="24"/>
        </w:rPr>
      </w:pPr>
      <w:r>
        <w:rPr>
          <w:rFonts w:hint="eastAsia" w:ascii="仿宋" w:hAnsi="仿宋" w:eastAsia="仿宋" w:cs="仿宋"/>
          <w:iCs/>
          <w:sz w:val="24"/>
        </w:rPr>
        <w:t>1</w:t>
      </w:r>
      <w:r>
        <w:rPr>
          <w:rFonts w:ascii="仿宋" w:hAnsi="仿宋" w:eastAsia="仿宋" w:cs="仿宋"/>
          <w:iCs/>
          <w:sz w:val="24"/>
        </w:rPr>
        <w:t>.</w:t>
      </w:r>
      <w:r>
        <w:rPr>
          <w:rFonts w:hint="eastAsia" w:ascii="仿宋" w:hAnsi="仿宋" w:eastAsia="仿宋" w:cs="仿宋"/>
          <w:iCs/>
          <w:sz w:val="24"/>
        </w:rPr>
        <w:t>基本服务内容、要求及标准</w:t>
      </w:r>
    </w:p>
    <w:tbl>
      <w:tblPr>
        <w:tblStyle w:val="4"/>
        <w:tblW w:w="4994"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965"/>
        <w:gridCol w:w="5745"/>
      </w:tblGrid>
      <w:tr w14:paraId="6B6A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shd w:val="clear" w:color="auto" w:fill="auto"/>
            <w:noWrap w:val="0"/>
            <w:vAlign w:val="center"/>
          </w:tcPr>
          <w:p w14:paraId="0C3DFAF3">
            <w:pPr>
              <w:widowControl/>
              <w:snapToGrid w:val="0"/>
              <w:spacing w:line="300" w:lineRule="auto"/>
              <w:jc w:val="center"/>
              <w:rPr>
                <w:rFonts w:ascii="Calibri" w:hAnsi="Calibri" w:cs="Calibri"/>
                <w:bCs/>
                <w:sz w:val="28"/>
                <w:szCs w:val="28"/>
              </w:rPr>
            </w:pPr>
            <w:r>
              <w:rPr>
                <w:rFonts w:ascii="Calibri" w:hAnsi="Calibri" w:cs="Calibri"/>
                <w:bCs/>
                <w:sz w:val="28"/>
                <w:szCs w:val="28"/>
              </w:rPr>
              <w:t>序号</w:t>
            </w:r>
          </w:p>
        </w:tc>
        <w:tc>
          <w:tcPr>
            <w:tcW w:w="1913" w:type="dxa"/>
            <w:shd w:val="clear" w:color="auto" w:fill="auto"/>
            <w:noWrap w:val="0"/>
            <w:vAlign w:val="center"/>
          </w:tcPr>
          <w:p w14:paraId="16726832">
            <w:pPr>
              <w:widowControl/>
              <w:snapToGrid w:val="0"/>
              <w:spacing w:line="300" w:lineRule="auto"/>
              <w:jc w:val="center"/>
              <w:rPr>
                <w:rFonts w:ascii="Calibri" w:hAnsi="Calibri" w:cs="Calibri"/>
                <w:bCs/>
                <w:sz w:val="28"/>
                <w:szCs w:val="28"/>
              </w:rPr>
            </w:pPr>
            <w:r>
              <w:rPr>
                <w:rFonts w:ascii="Calibri" w:hAnsi="Calibri" w:cs="Calibri"/>
                <w:bCs/>
                <w:sz w:val="28"/>
                <w:szCs w:val="28"/>
              </w:rPr>
              <w:t>服务内容</w:t>
            </w:r>
          </w:p>
        </w:tc>
        <w:tc>
          <w:tcPr>
            <w:tcW w:w="5593" w:type="dxa"/>
            <w:shd w:val="clear" w:color="auto" w:fill="auto"/>
            <w:noWrap w:val="0"/>
            <w:vAlign w:val="center"/>
          </w:tcPr>
          <w:p w14:paraId="2E3E8960">
            <w:pPr>
              <w:widowControl/>
              <w:snapToGrid w:val="0"/>
              <w:spacing w:line="300" w:lineRule="auto"/>
              <w:jc w:val="center"/>
              <w:rPr>
                <w:rFonts w:ascii="Calibri" w:hAnsi="Calibri" w:cs="Calibri"/>
                <w:bCs/>
                <w:sz w:val="28"/>
                <w:szCs w:val="28"/>
              </w:rPr>
            </w:pPr>
            <w:r>
              <w:rPr>
                <w:rFonts w:ascii="Calibri" w:hAnsi="Calibri" w:cs="Calibri"/>
                <w:bCs/>
                <w:sz w:val="28"/>
                <w:szCs w:val="28"/>
              </w:rPr>
              <w:t>服务标准</w:t>
            </w:r>
          </w:p>
        </w:tc>
      </w:tr>
      <w:tr w14:paraId="3D77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shd w:val="clear" w:color="auto" w:fill="auto"/>
            <w:noWrap w:val="0"/>
            <w:vAlign w:val="center"/>
          </w:tcPr>
          <w:p w14:paraId="183C5B37">
            <w:pPr>
              <w:widowControl/>
              <w:snapToGrid w:val="0"/>
              <w:spacing w:line="300" w:lineRule="auto"/>
              <w:jc w:val="center"/>
              <w:rPr>
                <w:rFonts w:ascii="仿宋" w:hAnsi="仿宋" w:eastAsia="仿宋" w:cs="Calibri"/>
                <w:sz w:val="24"/>
              </w:rPr>
            </w:pPr>
            <w:r>
              <w:rPr>
                <w:rFonts w:ascii="仿宋" w:hAnsi="仿宋" w:eastAsia="仿宋" w:cs="Calibri"/>
                <w:sz w:val="24"/>
              </w:rPr>
              <w:t>1</w:t>
            </w:r>
          </w:p>
        </w:tc>
        <w:tc>
          <w:tcPr>
            <w:tcW w:w="1913" w:type="dxa"/>
            <w:shd w:val="clear" w:color="auto" w:fill="auto"/>
            <w:noWrap w:val="0"/>
            <w:vAlign w:val="center"/>
          </w:tcPr>
          <w:p w14:paraId="67353006">
            <w:pPr>
              <w:widowControl/>
              <w:snapToGrid w:val="0"/>
              <w:spacing w:line="300" w:lineRule="auto"/>
              <w:rPr>
                <w:rFonts w:ascii="仿宋" w:hAnsi="仿宋" w:eastAsia="仿宋" w:cs="Calibri"/>
                <w:sz w:val="24"/>
              </w:rPr>
            </w:pPr>
            <w:r>
              <w:rPr>
                <w:rFonts w:ascii="仿宋" w:hAnsi="仿宋" w:eastAsia="仿宋" w:cs="Calibri"/>
                <w:sz w:val="24"/>
              </w:rPr>
              <w:t>目标与责任</w:t>
            </w:r>
          </w:p>
        </w:tc>
        <w:tc>
          <w:tcPr>
            <w:tcW w:w="5593" w:type="dxa"/>
            <w:shd w:val="clear" w:color="auto" w:fill="auto"/>
            <w:noWrap w:val="0"/>
            <w:vAlign w:val="center"/>
          </w:tcPr>
          <w:p w14:paraId="400C9C3B">
            <w:pPr>
              <w:widowControl/>
              <w:snapToGrid w:val="0"/>
              <w:spacing w:line="300" w:lineRule="auto"/>
              <w:jc w:val="left"/>
              <w:rPr>
                <w:rFonts w:ascii="仿宋" w:hAnsi="仿宋" w:eastAsia="仿宋" w:cs="Calibri"/>
                <w:sz w:val="24"/>
              </w:rPr>
            </w:pPr>
            <w:r>
              <w:rPr>
                <w:rFonts w:ascii="仿宋" w:hAnsi="仿宋" w:eastAsia="仿宋" w:cs="Calibri"/>
                <w:sz w:val="24"/>
              </w:rPr>
              <w:t>结合采购人要求及物业服务实际情况，制定年度管理目标，明确责任分工，并制定配套实施方案。</w:t>
            </w:r>
          </w:p>
        </w:tc>
      </w:tr>
      <w:tr w14:paraId="33D8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780" w:type="dxa"/>
            <w:shd w:val="clear" w:color="auto" w:fill="auto"/>
            <w:noWrap w:val="0"/>
            <w:vAlign w:val="center"/>
          </w:tcPr>
          <w:p w14:paraId="06495744">
            <w:pPr>
              <w:widowControl/>
              <w:snapToGrid w:val="0"/>
              <w:spacing w:line="300" w:lineRule="auto"/>
              <w:jc w:val="center"/>
              <w:rPr>
                <w:rFonts w:ascii="仿宋" w:hAnsi="仿宋" w:eastAsia="仿宋" w:cs="Calibri"/>
                <w:sz w:val="24"/>
              </w:rPr>
            </w:pPr>
            <w:r>
              <w:rPr>
                <w:rFonts w:ascii="仿宋" w:hAnsi="仿宋" w:eastAsia="仿宋" w:cs="Calibri"/>
                <w:sz w:val="24"/>
              </w:rPr>
              <w:t>2</w:t>
            </w:r>
          </w:p>
        </w:tc>
        <w:tc>
          <w:tcPr>
            <w:tcW w:w="1913" w:type="dxa"/>
            <w:shd w:val="clear" w:color="auto" w:fill="auto"/>
            <w:noWrap w:val="0"/>
            <w:vAlign w:val="center"/>
          </w:tcPr>
          <w:p w14:paraId="2396B7B0">
            <w:pPr>
              <w:widowControl/>
              <w:snapToGrid w:val="0"/>
              <w:spacing w:line="300" w:lineRule="auto"/>
              <w:rPr>
                <w:rFonts w:ascii="仿宋" w:hAnsi="仿宋" w:eastAsia="仿宋" w:cs="Calibri"/>
                <w:sz w:val="24"/>
              </w:rPr>
            </w:pPr>
            <w:r>
              <w:rPr>
                <w:rFonts w:ascii="仿宋" w:hAnsi="仿宋" w:eastAsia="仿宋" w:cs="Calibri"/>
                <w:sz w:val="24"/>
              </w:rPr>
              <w:t>服务人员要求</w:t>
            </w:r>
          </w:p>
        </w:tc>
        <w:tc>
          <w:tcPr>
            <w:tcW w:w="5593" w:type="dxa"/>
            <w:shd w:val="clear" w:color="auto" w:fill="auto"/>
            <w:noWrap w:val="0"/>
            <w:vAlign w:val="center"/>
          </w:tcPr>
          <w:p w14:paraId="05B83210">
            <w:pPr>
              <w:widowControl/>
              <w:snapToGrid w:val="0"/>
              <w:spacing w:line="300" w:lineRule="auto"/>
              <w:jc w:val="left"/>
              <w:rPr>
                <w:rFonts w:ascii="仿宋" w:hAnsi="仿宋" w:eastAsia="仿宋" w:cs="Calibri"/>
                <w:sz w:val="24"/>
              </w:rPr>
            </w:pPr>
            <w:r>
              <w:rPr>
                <w:rFonts w:hint="eastAsia" w:ascii="仿宋" w:hAnsi="仿宋" w:eastAsia="仿宋" w:cs="Calibri"/>
                <w:sz w:val="24"/>
              </w:rPr>
              <w:t>（1）</w:t>
            </w:r>
            <w:r>
              <w:rPr>
                <w:rFonts w:ascii="仿宋" w:hAnsi="仿宋" w:eastAsia="仿宋" w:cs="Calibri"/>
                <w:sz w:val="24"/>
              </w:rPr>
              <w:t>每季度至少开展1次岗位技能、职业素质、服务知识、客户文化、绿色节能环保等教育培训，并进行适当形式的考核。</w:t>
            </w:r>
          </w:p>
          <w:p w14:paraId="3C5D3A50">
            <w:pPr>
              <w:widowControl/>
              <w:snapToGrid w:val="0"/>
              <w:spacing w:line="300" w:lineRule="auto"/>
              <w:jc w:val="left"/>
              <w:rPr>
                <w:rFonts w:ascii="仿宋" w:hAnsi="仿宋" w:eastAsia="仿宋" w:cs="Calibri"/>
                <w:sz w:val="24"/>
              </w:rPr>
            </w:pPr>
            <w:r>
              <w:rPr>
                <w:rFonts w:hint="eastAsia" w:ascii="仿宋" w:hAnsi="仿宋" w:eastAsia="仿宋" w:cs="Calibri"/>
                <w:sz w:val="24"/>
              </w:rPr>
              <w:t>（2）</w:t>
            </w:r>
            <w:r>
              <w:rPr>
                <w:rFonts w:ascii="仿宋" w:hAnsi="仿宋" w:eastAsia="仿宋" w:cs="Calibri"/>
                <w:sz w:val="24"/>
              </w:rPr>
              <w:t>根据采购人要求对服务人员进行从业资格审查，审查结果向采购人报备。</w:t>
            </w:r>
          </w:p>
          <w:p w14:paraId="52139D3A">
            <w:pPr>
              <w:widowControl/>
              <w:snapToGrid w:val="0"/>
              <w:spacing w:line="300" w:lineRule="auto"/>
              <w:jc w:val="left"/>
              <w:rPr>
                <w:rFonts w:ascii="仿宋" w:hAnsi="仿宋" w:eastAsia="仿宋" w:cs="Calibri"/>
                <w:bCs/>
                <w:sz w:val="24"/>
              </w:rPr>
            </w:pPr>
            <w:r>
              <w:rPr>
                <w:rFonts w:hint="eastAsia" w:ascii="仿宋" w:hAnsi="仿宋" w:eastAsia="仿宋" w:cs="Calibri"/>
                <w:sz w:val="24"/>
              </w:rPr>
              <w:t>（3）</w:t>
            </w:r>
            <w:r>
              <w:rPr>
                <w:rFonts w:ascii="仿宋" w:hAnsi="仿宋" w:eastAsia="仿宋" w:cs="Calibri"/>
                <w:bCs/>
                <w:sz w:val="24"/>
              </w:rPr>
              <w:t>服务人员的年龄、学历、工作经验及资格条件</w:t>
            </w:r>
            <w:r>
              <w:rPr>
                <w:rFonts w:hint="eastAsia" w:ascii="仿宋" w:hAnsi="仿宋" w:eastAsia="仿宋" w:cs="Calibri"/>
                <w:bCs/>
                <w:sz w:val="24"/>
              </w:rPr>
              <w:t>应当</w:t>
            </w:r>
            <w:r>
              <w:rPr>
                <w:rFonts w:ascii="仿宋" w:hAnsi="仿宋" w:eastAsia="仿宋" w:cs="Calibri"/>
                <w:bCs/>
                <w:sz w:val="24"/>
              </w:rPr>
              <w:t>与所在岗位能力要求相匹配，到岗前</w:t>
            </w:r>
            <w:r>
              <w:rPr>
                <w:rFonts w:hint="eastAsia" w:ascii="仿宋" w:hAnsi="仿宋" w:eastAsia="仿宋" w:cs="Calibri"/>
                <w:bCs/>
                <w:sz w:val="24"/>
              </w:rPr>
              <w:t>应当</w:t>
            </w:r>
            <w:r>
              <w:rPr>
                <w:rFonts w:ascii="仿宋" w:hAnsi="仿宋" w:eastAsia="仿宋" w:cs="Calibri"/>
                <w:bCs/>
                <w:sz w:val="24"/>
              </w:rPr>
              <w:t>经过必要的岗前培训以达到岗位能力要求，国家、行业规定应</w:t>
            </w:r>
            <w:r>
              <w:rPr>
                <w:rFonts w:hint="eastAsia" w:ascii="仿宋" w:hAnsi="仿宋" w:eastAsia="仿宋" w:cs="Calibri"/>
                <w:bCs/>
                <w:sz w:val="24"/>
              </w:rPr>
              <w:t>当</w:t>
            </w:r>
            <w:r>
              <w:rPr>
                <w:rFonts w:ascii="仿宋" w:hAnsi="仿宋" w:eastAsia="仿宋" w:cs="Calibri"/>
                <w:bCs/>
                <w:sz w:val="24"/>
              </w:rPr>
              <w:t>取得职业资格证书或特种作业证书的，应</w:t>
            </w:r>
            <w:r>
              <w:rPr>
                <w:rFonts w:hint="eastAsia" w:ascii="仿宋" w:hAnsi="仿宋" w:eastAsia="仿宋" w:cs="Calibri"/>
                <w:bCs/>
                <w:sz w:val="24"/>
              </w:rPr>
              <w:t>当</w:t>
            </w:r>
            <w:r>
              <w:rPr>
                <w:rFonts w:ascii="仿宋" w:hAnsi="仿宋" w:eastAsia="仿宋" w:cs="Calibri"/>
                <w:bCs/>
                <w:sz w:val="24"/>
              </w:rPr>
              <w:t>按规定持证上岗。</w:t>
            </w:r>
          </w:p>
          <w:p w14:paraId="6190D645">
            <w:pPr>
              <w:widowControl/>
              <w:snapToGrid w:val="0"/>
              <w:spacing w:line="300" w:lineRule="auto"/>
              <w:jc w:val="left"/>
              <w:rPr>
                <w:rFonts w:ascii="仿宋" w:hAnsi="仿宋" w:eastAsia="仿宋" w:cs="Calibri"/>
                <w:sz w:val="24"/>
              </w:rPr>
            </w:pPr>
            <w:r>
              <w:rPr>
                <w:rFonts w:hint="eastAsia" w:ascii="仿宋" w:hAnsi="仿宋" w:eastAsia="仿宋" w:cs="Calibri"/>
                <w:sz w:val="24"/>
              </w:rPr>
              <w:t>（4）</w:t>
            </w:r>
            <w:r>
              <w:rPr>
                <w:rFonts w:ascii="仿宋" w:hAnsi="仿宋" w:eastAsia="仿宋" w:cs="Calibri"/>
                <w:bCs/>
                <w:sz w:val="24"/>
              </w:rPr>
              <w:t>如采购人认为服务人员不适应岗位要求或存在其他影响工作的，可要求供应商进行</w:t>
            </w:r>
            <w:r>
              <w:rPr>
                <w:rFonts w:hint="eastAsia" w:ascii="仿宋" w:hAnsi="仿宋" w:eastAsia="仿宋" w:cs="Calibri"/>
                <w:bCs/>
                <w:sz w:val="24"/>
              </w:rPr>
              <w:t>调换</w:t>
            </w:r>
            <w:r>
              <w:rPr>
                <w:rFonts w:ascii="仿宋" w:hAnsi="仿宋" w:eastAsia="仿宋" w:cs="Calibri"/>
                <w:bCs/>
                <w:sz w:val="24"/>
              </w:rPr>
              <w:t>。如因供应商原因对服务</w:t>
            </w:r>
            <w:r>
              <w:rPr>
                <w:rFonts w:hint="eastAsia" w:ascii="仿宋" w:hAnsi="仿宋" w:eastAsia="仿宋" w:cs="Calibri"/>
                <w:bCs/>
                <w:sz w:val="24"/>
              </w:rPr>
              <w:t>管理</w:t>
            </w:r>
            <w:r>
              <w:rPr>
                <w:rFonts w:ascii="仿宋" w:hAnsi="仿宋" w:eastAsia="仿宋" w:cs="Calibri"/>
                <w:bCs/>
                <w:sz w:val="24"/>
              </w:rPr>
              <w:t>人员进行</w:t>
            </w:r>
            <w:r>
              <w:rPr>
                <w:rFonts w:hint="eastAsia" w:ascii="仿宋" w:hAnsi="仿宋" w:eastAsia="仿宋" w:cs="Calibri"/>
                <w:bCs/>
                <w:sz w:val="24"/>
              </w:rPr>
              <w:t>调换</w:t>
            </w:r>
            <w:r>
              <w:rPr>
                <w:rFonts w:ascii="仿宋" w:hAnsi="仿宋" w:eastAsia="仿宋" w:cs="Calibri"/>
                <w:bCs/>
                <w:sz w:val="24"/>
              </w:rPr>
              <w:t>，</w:t>
            </w:r>
            <w:r>
              <w:rPr>
                <w:rFonts w:hint="eastAsia" w:ascii="仿宋" w:hAnsi="仿宋" w:eastAsia="仿宋" w:cs="Calibri"/>
                <w:bCs/>
                <w:sz w:val="24"/>
              </w:rPr>
              <w:t>应当</w:t>
            </w:r>
            <w:r>
              <w:rPr>
                <w:rFonts w:ascii="仿宋" w:hAnsi="仿宋" w:eastAsia="仿宋" w:cs="Calibri"/>
                <w:bCs/>
                <w:sz w:val="24"/>
              </w:rPr>
              <w:t>经采购人同意，更换比例不得超过本项目服务</w:t>
            </w:r>
            <w:r>
              <w:rPr>
                <w:rFonts w:hint="eastAsia" w:ascii="仿宋" w:hAnsi="仿宋" w:eastAsia="仿宋" w:cs="Calibri"/>
                <w:bCs/>
                <w:sz w:val="24"/>
              </w:rPr>
              <w:t>管理</w:t>
            </w:r>
            <w:r>
              <w:rPr>
                <w:rFonts w:ascii="仿宋" w:hAnsi="仿宋" w:eastAsia="仿宋" w:cs="Calibri"/>
                <w:bCs/>
                <w:sz w:val="24"/>
              </w:rPr>
              <w:t>人员总数的25%。</w:t>
            </w:r>
            <w:r>
              <w:rPr>
                <w:rFonts w:hint="eastAsia" w:ascii="仿宋" w:hAnsi="仿宋" w:eastAsia="仿宋" w:cs="Calibri"/>
                <w:bCs/>
                <w:sz w:val="24"/>
              </w:rPr>
              <w:t>（5）</w:t>
            </w:r>
            <w:r>
              <w:rPr>
                <w:rFonts w:ascii="仿宋" w:hAnsi="仿宋" w:eastAsia="仿宋" w:cs="Calibri"/>
                <w:sz w:val="24"/>
              </w:rPr>
              <w:t>着装</w:t>
            </w:r>
            <w:r>
              <w:rPr>
                <w:rFonts w:hint="eastAsia" w:ascii="仿宋" w:hAnsi="仿宋" w:eastAsia="仿宋" w:cs="Calibri"/>
                <w:sz w:val="24"/>
              </w:rPr>
              <w:t>分类</w:t>
            </w:r>
            <w:r>
              <w:rPr>
                <w:rFonts w:ascii="仿宋" w:hAnsi="仿宋" w:eastAsia="仿宋" w:cs="Calibri"/>
                <w:sz w:val="24"/>
              </w:rPr>
              <w:t>统一，佩戴标识。仪容整洁、姿态端正、举止文明。用语文明礼貌，态度温和耐心。</w:t>
            </w:r>
          </w:p>
        </w:tc>
      </w:tr>
      <w:tr w14:paraId="21C0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trPr>
        <w:tc>
          <w:tcPr>
            <w:tcW w:w="780" w:type="dxa"/>
            <w:shd w:val="clear" w:color="auto" w:fill="auto"/>
            <w:noWrap w:val="0"/>
            <w:vAlign w:val="center"/>
          </w:tcPr>
          <w:p w14:paraId="31D98ED2">
            <w:pPr>
              <w:widowControl/>
              <w:snapToGrid w:val="0"/>
              <w:spacing w:line="300" w:lineRule="auto"/>
              <w:jc w:val="center"/>
              <w:rPr>
                <w:rFonts w:ascii="仿宋" w:hAnsi="仿宋" w:eastAsia="仿宋" w:cs="Calibri"/>
                <w:sz w:val="24"/>
              </w:rPr>
            </w:pPr>
            <w:r>
              <w:rPr>
                <w:rFonts w:ascii="仿宋" w:hAnsi="仿宋" w:eastAsia="仿宋" w:cs="Calibri"/>
                <w:sz w:val="24"/>
              </w:rPr>
              <w:t>3</w:t>
            </w:r>
          </w:p>
        </w:tc>
        <w:tc>
          <w:tcPr>
            <w:tcW w:w="1913" w:type="dxa"/>
            <w:shd w:val="clear" w:color="auto" w:fill="auto"/>
            <w:noWrap w:val="0"/>
            <w:vAlign w:val="center"/>
          </w:tcPr>
          <w:p w14:paraId="0845831D">
            <w:pPr>
              <w:widowControl/>
              <w:snapToGrid w:val="0"/>
              <w:spacing w:line="300" w:lineRule="auto"/>
              <w:rPr>
                <w:rFonts w:ascii="仿宋" w:hAnsi="仿宋" w:eastAsia="仿宋" w:cs="Calibri"/>
                <w:sz w:val="24"/>
              </w:rPr>
            </w:pPr>
            <w:r>
              <w:rPr>
                <w:rFonts w:ascii="仿宋" w:hAnsi="仿宋" w:eastAsia="仿宋" w:cs="Calibri"/>
                <w:sz w:val="24"/>
              </w:rPr>
              <w:t>档案管理</w:t>
            </w:r>
          </w:p>
        </w:tc>
        <w:tc>
          <w:tcPr>
            <w:tcW w:w="5593" w:type="dxa"/>
            <w:shd w:val="clear" w:color="auto" w:fill="auto"/>
            <w:noWrap w:val="0"/>
            <w:vAlign w:val="center"/>
          </w:tcPr>
          <w:p w14:paraId="0FBFDC15">
            <w:pPr>
              <w:widowControl/>
              <w:snapToGrid w:val="0"/>
              <w:spacing w:line="300" w:lineRule="auto"/>
              <w:jc w:val="left"/>
              <w:rPr>
                <w:rFonts w:ascii="仿宋" w:hAnsi="仿宋" w:eastAsia="仿宋" w:cs="Calibri"/>
                <w:sz w:val="24"/>
              </w:rPr>
            </w:pPr>
            <w:r>
              <w:rPr>
                <w:rFonts w:hint="eastAsia" w:ascii="仿宋" w:hAnsi="仿宋" w:eastAsia="仿宋" w:cs="Calibri"/>
                <w:sz w:val="24"/>
              </w:rPr>
              <w:t>（1）</w:t>
            </w:r>
            <w:r>
              <w:rPr>
                <w:rFonts w:ascii="仿宋" w:hAnsi="仿宋" w:eastAsia="仿宋" w:cs="Calibri"/>
                <w:sz w:val="24"/>
              </w:rPr>
              <w:t>建立物业信息，准确、及时地对文件资料和服务记录进行归档保存，并确保其物理安全。</w:t>
            </w:r>
          </w:p>
          <w:p w14:paraId="6810EA14">
            <w:pPr>
              <w:widowControl/>
              <w:snapToGrid w:val="0"/>
              <w:spacing w:line="300" w:lineRule="auto"/>
              <w:jc w:val="left"/>
              <w:rPr>
                <w:rFonts w:ascii="仿宋" w:hAnsi="仿宋" w:eastAsia="仿宋" w:cs="Calibri"/>
                <w:sz w:val="24"/>
              </w:rPr>
            </w:pPr>
            <w:r>
              <w:rPr>
                <w:rFonts w:hint="eastAsia" w:ascii="仿宋" w:hAnsi="仿宋" w:eastAsia="仿宋" w:cs="Calibri"/>
                <w:sz w:val="24"/>
              </w:rPr>
              <w:t>（2）</w:t>
            </w:r>
            <w:r>
              <w:rPr>
                <w:rFonts w:ascii="仿宋" w:hAnsi="仿宋" w:eastAsia="仿宋" w:cs="Calibri"/>
                <w:sz w:val="24"/>
              </w:rPr>
              <w:t>档案和记录齐全，包括但不限于：①</w:t>
            </w:r>
            <w:r>
              <w:rPr>
                <w:rFonts w:hint="eastAsia" w:ascii="仿宋" w:hAnsi="仿宋" w:eastAsia="仿宋" w:cs="Calibri"/>
                <w:sz w:val="24"/>
              </w:rPr>
              <w:t>采购人</w:t>
            </w:r>
            <w:r>
              <w:rPr>
                <w:rFonts w:ascii="仿宋" w:hAnsi="仿宋" w:eastAsia="仿宋" w:cs="Calibri"/>
                <w:sz w:val="24"/>
              </w:rPr>
              <w:t>建议与投诉等。教育培训和考核记录。②房屋维护服务：房屋台账、使用说明、房屋装修、维保记录等。③</w:t>
            </w:r>
            <w:r>
              <w:rPr>
                <w:rFonts w:hint="eastAsia" w:ascii="仿宋" w:hAnsi="仿宋" w:eastAsia="仿宋" w:cs="Calibri"/>
                <w:sz w:val="24"/>
              </w:rPr>
              <w:t>公用设施</w:t>
            </w:r>
            <w:r>
              <w:rPr>
                <w:rFonts w:ascii="仿宋" w:hAnsi="仿宋" w:eastAsia="仿宋" w:cs="Calibri"/>
                <w:sz w:val="24"/>
              </w:rPr>
              <w:t>设备维护服务：设备台账、设备卡、使用说明、维保记录</w:t>
            </w:r>
            <w:r>
              <w:rPr>
                <w:rFonts w:hint="eastAsia" w:ascii="仿宋" w:hAnsi="仿宋" w:eastAsia="仿宋" w:cs="Calibri"/>
                <w:sz w:val="24"/>
              </w:rPr>
              <w:t>、巡查记录、</w:t>
            </w:r>
            <w:r>
              <w:rPr>
                <w:rFonts w:hint="eastAsia" w:ascii="仿宋" w:hAnsi="仿宋" w:eastAsia="仿宋"/>
                <w:sz w:val="24"/>
              </w:rPr>
              <w:t>设施设备安全运行、设施设备定期巡检、维护保养、维修档案</w:t>
            </w:r>
            <w:r>
              <w:rPr>
                <w:rFonts w:ascii="仿宋" w:hAnsi="仿宋" w:eastAsia="仿宋" w:cs="Calibri"/>
                <w:sz w:val="24"/>
              </w:rPr>
              <w:t>等。④保洁服务：工作日志、清洁检查表、用品清单、客户反馈表等。⑤绿化服务：绿化总平面图、清洁整改记录、消杀记录等。⑥其他：客户信息、财务明细、合同协议</w:t>
            </w:r>
            <w:r>
              <w:rPr>
                <w:rFonts w:hint="eastAsia" w:ascii="仿宋" w:hAnsi="仿宋" w:eastAsia="仿宋" w:cs="Calibri"/>
                <w:sz w:val="24"/>
              </w:rPr>
              <w:t>、信报信息登记、大件物品进出登记</w:t>
            </w:r>
            <w:r>
              <w:rPr>
                <w:rFonts w:ascii="仿宋" w:hAnsi="仿宋" w:eastAsia="仿宋" w:cs="Calibri"/>
                <w:sz w:val="24"/>
              </w:rPr>
              <w:t>等。</w:t>
            </w:r>
          </w:p>
          <w:p w14:paraId="4DEEB676">
            <w:pPr>
              <w:widowControl/>
              <w:snapToGrid w:val="0"/>
              <w:spacing w:line="300" w:lineRule="auto"/>
              <w:jc w:val="left"/>
              <w:rPr>
                <w:rFonts w:ascii="仿宋" w:hAnsi="仿宋" w:eastAsia="仿宋" w:cs="Calibri"/>
                <w:sz w:val="24"/>
              </w:rPr>
            </w:pPr>
            <w:r>
              <w:rPr>
                <w:rFonts w:hint="eastAsia" w:ascii="仿宋" w:hAnsi="仿宋" w:eastAsia="仿宋" w:cs="Calibri"/>
                <w:sz w:val="24"/>
              </w:rPr>
              <w:t>（3）</w:t>
            </w:r>
            <w:r>
              <w:rPr>
                <w:rFonts w:ascii="仿宋" w:hAnsi="仿宋" w:eastAsia="仿宋" w:cs="Calibri"/>
                <w:sz w:val="24"/>
              </w:rPr>
              <w:t>遵守采购人的信息、档案资料保密要求，未经许可，不得将</w:t>
            </w:r>
            <w:r>
              <w:rPr>
                <w:rFonts w:hint="eastAsia" w:ascii="仿宋" w:hAnsi="仿宋" w:eastAsia="仿宋" w:cs="Calibri"/>
                <w:sz w:val="24"/>
              </w:rPr>
              <w:t>建筑物平面图等</w:t>
            </w:r>
            <w:r>
              <w:rPr>
                <w:rFonts w:ascii="仿宋" w:hAnsi="仿宋" w:eastAsia="仿宋" w:cs="Calibri"/>
                <w:sz w:val="24"/>
              </w:rPr>
              <w:t>资料转作其他用途</w:t>
            </w:r>
            <w:r>
              <w:rPr>
                <w:rFonts w:hint="eastAsia" w:ascii="仿宋" w:hAnsi="仿宋" w:eastAsia="仿宋" w:cs="Calibri"/>
                <w:sz w:val="24"/>
              </w:rPr>
              <w:t>或向其他单位、个人提供</w:t>
            </w:r>
            <w:r>
              <w:rPr>
                <w:rFonts w:ascii="仿宋" w:hAnsi="仿宋" w:eastAsia="仿宋" w:cs="Calibri"/>
                <w:sz w:val="24"/>
              </w:rPr>
              <w:t>。</w:t>
            </w:r>
          </w:p>
          <w:p w14:paraId="0C9079C8">
            <w:pPr>
              <w:widowControl/>
              <w:snapToGrid w:val="0"/>
              <w:spacing w:line="300" w:lineRule="auto"/>
              <w:jc w:val="left"/>
              <w:rPr>
                <w:rFonts w:ascii="仿宋" w:hAnsi="仿宋" w:eastAsia="仿宋" w:cs="Calibri"/>
                <w:sz w:val="24"/>
              </w:rPr>
            </w:pPr>
            <w:r>
              <w:rPr>
                <w:rFonts w:hint="eastAsia" w:ascii="仿宋" w:hAnsi="仿宋" w:eastAsia="仿宋" w:cs="Calibri"/>
                <w:sz w:val="24"/>
              </w:rPr>
              <w:t>（4）履约结束后，相关资料交还采购人，采购人按政府采购相关规定存档。</w:t>
            </w:r>
          </w:p>
        </w:tc>
      </w:tr>
      <w:tr w14:paraId="751D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780" w:type="dxa"/>
            <w:shd w:val="clear" w:color="auto" w:fill="auto"/>
            <w:noWrap w:val="0"/>
            <w:vAlign w:val="center"/>
          </w:tcPr>
          <w:p w14:paraId="7DE2EA8B">
            <w:pPr>
              <w:widowControl/>
              <w:snapToGrid w:val="0"/>
              <w:spacing w:line="300" w:lineRule="auto"/>
              <w:jc w:val="center"/>
              <w:rPr>
                <w:rFonts w:ascii="仿宋" w:hAnsi="仿宋" w:eastAsia="仿宋" w:cs="Calibri"/>
                <w:sz w:val="24"/>
              </w:rPr>
            </w:pPr>
            <w:r>
              <w:rPr>
                <w:rFonts w:ascii="仿宋" w:hAnsi="仿宋" w:eastAsia="仿宋" w:cs="Calibri"/>
                <w:sz w:val="24"/>
              </w:rPr>
              <w:t>4</w:t>
            </w:r>
          </w:p>
          <w:p w14:paraId="05057803">
            <w:pPr>
              <w:widowControl/>
              <w:snapToGrid w:val="0"/>
              <w:spacing w:line="300" w:lineRule="auto"/>
              <w:jc w:val="center"/>
              <w:rPr>
                <w:rFonts w:ascii="仿宋" w:hAnsi="仿宋" w:eastAsia="仿宋" w:cs="Calibri"/>
                <w:sz w:val="24"/>
              </w:rPr>
            </w:pPr>
          </w:p>
        </w:tc>
        <w:tc>
          <w:tcPr>
            <w:tcW w:w="1913" w:type="dxa"/>
            <w:shd w:val="clear" w:color="auto" w:fill="auto"/>
            <w:noWrap w:val="0"/>
            <w:vAlign w:val="center"/>
          </w:tcPr>
          <w:p w14:paraId="3C371EA8">
            <w:pPr>
              <w:widowControl/>
              <w:snapToGrid w:val="0"/>
              <w:spacing w:line="300" w:lineRule="auto"/>
              <w:rPr>
                <w:rFonts w:ascii="仿宋" w:hAnsi="仿宋" w:eastAsia="仿宋" w:cs="Calibri"/>
                <w:sz w:val="24"/>
              </w:rPr>
            </w:pPr>
            <w:r>
              <w:rPr>
                <w:rFonts w:ascii="仿宋" w:hAnsi="仿宋" w:eastAsia="仿宋" w:cs="Calibri"/>
                <w:sz w:val="24"/>
              </w:rPr>
              <w:t>服务改进</w:t>
            </w:r>
          </w:p>
          <w:p w14:paraId="6D1490E1">
            <w:pPr>
              <w:widowControl/>
              <w:snapToGrid w:val="0"/>
              <w:spacing w:line="300" w:lineRule="auto"/>
              <w:rPr>
                <w:rFonts w:ascii="仿宋" w:hAnsi="仿宋" w:eastAsia="仿宋" w:cs="Calibri"/>
                <w:sz w:val="24"/>
              </w:rPr>
            </w:pPr>
          </w:p>
        </w:tc>
        <w:tc>
          <w:tcPr>
            <w:tcW w:w="5593" w:type="dxa"/>
            <w:shd w:val="clear" w:color="auto" w:fill="auto"/>
            <w:noWrap w:val="0"/>
            <w:vAlign w:val="center"/>
          </w:tcPr>
          <w:p w14:paraId="42617277">
            <w:pPr>
              <w:widowControl/>
              <w:snapToGrid w:val="0"/>
              <w:spacing w:line="300" w:lineRule="auto"/>
              <w:jc w:val="left"/>
              <w:rPr>
                <w:rFonts w:ascii="仿宋" w:hAnsi="仿宋" w:eastAsia="仿宋" w:cs="Calibri"/>
                <w:sz w:val="24"/>
              </w:rPr>
            </w:pPr>
            <w:r>
              <w:rPr>
                <w:rFonts w:hint="eastAsia" w:ascii="仿宋" w:hAnsi="仿宋" w:eastAsia="仿宋" w:cs="Calibri"/>
                <w:sz w:val="24"/>
              </w:rPr>
              <w:t>（1）</w:t>
            </w:r>
            <w:r>
              <w:rPr>
                <w:rFonts w:ascii="仿宋" w:hAnsi="仿宋" w:eastAsia="仿宋" w:cs="Calibri"/>
                <w:sz w:val="24"/>
              </w:rPr>
              <w:t>明确负责人，定期对物业服务过程进行自查，结合反馈意见与评价结果采取改进措施，持续提升管理与服务水平。</w:t>
            </w:r>
          </w:p>
          <w:p w14:paraId="7029EC08">
            <w:pPr>
              <w:widowControl/>
              <w:snapToGrid w:val="0"/>
              <w:spacing w:line="300" w:lineRule="auto"/>
              <w:jc w:val="left"/>
              <w:rPr>
                <w:rFonts w:ascii="仿宋" w:hAnsi="仿宋" w:eastAsia="仿宋" w:cs="Calibri"/>
                <w:sz w:val="24"/>
              </w:rPr>
            </w:pPr>
            <w:r>
              <w:rPr>
                <w:rFonts w:hint="eastAsia" w:ascii="仿宋" w:hAnsi="仿宋" w:eastAsia="仿宋" w:cs="Calibri"/>
                <w:sz w:val="24"/>
              </w:rPr>
              <w:t>（2）</w:t>
            </w:r>
            <w:r>
              <w:rPr>
                <w:rFonts w:ascii="仿宋" w:hAnsi="仿宋" w:eastAsia="仿宋" w:cs="Calibri"/>
                <w:sz w:val="24"/>
              </w:rPr>
              <w:t>对不合格服务进行控制，对不合格服务的原因进行识别和分析，及时采取纠正措施，消除不合格的原因，防止不合格再发生。</w:t>
            </w:r>
          </w:p>
          <w:p w14:paraId="61FFCC12">
            <w:pPr>
              <w:widowControl/>
              <w:snapToGrid w:val="0"/>
              <w:spacing w:line="300" w:lineRule="auto"/>
              <w:jc w:val="left"/>
              <w:rPr>
                <w:rFonts w:ascii="仿宋" w:hAnsi="仿宋" w:eastAsia="仿宋" w:cs="Calibri"/>
                <w:sz w:val="24"/>
              </w:rPr>
            </w:pPr>
            <w:r>
              <w:rPr>
                <w:rFonts w:hint="eastAsia" w:ascii="仿宋" w:hAnsi="仿宋" w:eastAsia="仿宋" w:cs="Calibri"/>
                <w:sz w:val="24"/>
              </w:rPr>
              <w:t>（3）</w:t>
            </w:r>
            <w:r>
              <w:rPr>
                <w:rFonts w:ascii="仿宋" w:hAnsi="仿宋" w:eastAsia="仿宋" w:cs="Calibri"/>
                <w:sz w:val="24"/>
              </w:rPr>
              <w:t>需整改问题</w:t>
            </w:r>
            <w:r>
              <w:rPr>
                <w:rFonts w:hint="eastAsia" w:ascii="仿宋" w:hAnsi="仿宋" w:eastAsia="仿宋" w:cs="Calibri"/>
                <w:sz w:val="24"/>
              </w:rPr>
              <w:t>及时</w:t>
            </w:r>
            <w:r>
              <w:rPr>
                <w:rFonts w:ascii="仿宋" w:hAnsi="仿宋" w:eastAsia="仿宋" w:cs="Calibri"/>
                <w:sz w:val="24"/>
              </w:rPr>
              <w:t>整改完成。</w:t>
            </w:r>
          </w:p>
        </w:tc>
      </w:tr>
      <w:tr w14:paraId="21E4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80" w:type="dxa"/>
            <w:shd w:val="clear" w:color="auto" w:fill="auto"/>
            <w:noWrap w:val="0"/>
            <w:vAlign w:val="center"/>
          </w:tcPr>
          <w:p w14:paraId="53816E10">
            <w:pPr>
              <w:widowControl/>
              <w:snapToGrid w:val="0"/>
              <w:spacing w:line="300" w:lineRule="auto"/>
              <w:jc w:val="center"/>
              <w:rPr>
                <w:rFonts w:ascii="仿宋" w:hAnsi="仿宋" w:eastAsia="仿宋" w:cs="Calibri"/>
                <w:sz w:val="24"/>
              </w:rPr>
            </w:pPr>
            <w:r>
              <w:rPr>
                <w:rFonts w:ascii="仿宋" w:hAnsi="仿宋" w:eastAsia="仿宋" w:cs="Calibri"/>
                <w:sz w:val="24"/>
              </w:rPr>
              <w:t>5</w:t>
            </w:r>
          </w:p>
        </w:tc>
        <w:tc>
          <w:tcPr>
            <w:tcW w:w="1913" w:type="dxa"/>
            <w:shd w:val="clear" w:color="auto" w:fill="auto"/>
            <w:noWrap w:val="0"/>
            <w:vAlign w:val="center"/>
          </w:tcPr>
          <w:p w14:paraId="710FC087">
            <w:pPr>
              <w:widowControl/>
              <w:snapToGrid w:val="0"/>
              <w:spacing w:line="300" w:lineRule="auto"/>
              <w:rPr>
                <w:rFonts w:ascii="仿宋" w:hAnsi="仿宋" w:eastAsia="仿宋" w:cs="Calibri"/>
                <w:sz w:val="24"/>
              </w:rPr>
            </w:pPr>
            <w:r>
              <w:rPr>
                <w:rFonts w:ascii="仿宋" w:hAnsi="仿宋" w:eastAsia="仿宋" w:cs="Calibri"/>
                <w:sz w:val="24"/>
              </w:rPr>
              <w:t>重大活动后勤保障</w:t>
            </w:r>
          </w:p>
        </w:tc>
        <w:tc>
          <w:tcPr>
            <w:tcW w:w="5593" w:type="dxa"/>
            <w:shd w:val="clear" w:color="auto" w:fill="auto"/>
            <w:noWrap w:val="0"/>
            <w:vAlign w:val="center"/>
          </w:tcPr>
          <w:p w14:paraId="5184537B">
            <w:pPr>
              <w:widowControl/>
              <w:snapToGrid w:val="0"/>
              <w:spacing w:line="300" w:lineRule="auto"/>
              <w:jc w:val="left"/>
              <w:rPr>
                <w:rFonts w:ascii="仿宋" w:hAnsi="仿宋" w:eastAsia="仿宋" w:cs="Calibri"/>
                <w:sz w:val="24"/>
              </w:rPr>
            </w:pPr>
            <w:r>
              <w:rPr>
                <w:rFonts w:hint="eastAsia" w:ascii="仿宋" w:hAnsi="仿宋" w:eastAsia="仿宋" w:cs="Calibri"/>
                <w:sz w:val="24"/>
              </w:rPr>
              <w:t>（1）</w:t>
            </w:r>
            <w:r>
              <w:rPr>
                <w:rFonts w:ascii="仿宋" w:hAnsi="仿宋" w:eastAsia="仿宋" w:cs="Calibri"/>
                <w:sz w:val="24"/>
              </w:rPr>
              <w:t>制订流程。配合采购人制订重大活动后勤保障工作流程，需对任务进行详细了解，并根据工作安排制定详细的后勤保障计划。</w:t>
            </w:r>
          </w:p>
          <w:p w14:paraId="5616320F">
            <w:pPr>
              <w:widowControl/>
              <w:snapToGrid w:val="0"/>
              <w:spacing w:line="300" w:lineRule="auto"/>
              <w:jc w:val="left"/>
              <w:rPr>
                <w:rFonts w:ascii="仿宋" w:hAnsi="仿宋" w:eastAsia="仿宋" w:cs="Calibri"/>
                <w:sz w:val="24"/>
              </w:rPr>
            </w:pPr>
            <w:r>
              <w:rPr>
                <w:rFonts w:hint="eastAsia" w:ascii="仿宋" w:hAnsi="仿宋" w:eastAsia="仿宋" w:cs="Calibri"/>
                <w:sz w:val="24"/>
              </w:rPr>
              <w:t>（2）</w:t>
            </w:r>
            <w:r>
              <w:rPr>
                <w:rFonts w:ascii="仿宋" w:hAnsi="仿宋" w:eastAsia="仿宋" w:cs="Calibri"/>
                <w:sz w:val="24"/>
              </w:rPr>
              <w:t>实施保障。按计划在关键区域和重点部位进行部署，确保任务顺利进行，对活动区域进行全面安全检查，发现并排除安全隐患，以礼貌、专业的态度对待来宾，展现良好形象。</w:t>
            </w:r>
          </w:p>
          <w:p w14:paraId="538EE209">
            <w:pPr>
              <w:widowControl/>
              <w:snapToGrid w:val="0"/>
              <w:spacing w:line="300" w:lineRule="auto"/>
              <w:jc w:val="left"/>
              <w:rPr>
                <w:rFonts w:ascii="仿宋" w:hAnsi="仿宋" w:eastAsia="仿宋" w:cs="Calibri"/>
                <w:sz w:val="24"/>
              </w:rPr>
            </w:pPr>
            <w:r>
              <w:rPr>
                <w:rFonts w:hint="eastAsia" w:ascii="仿宋" w:hAnsi="仿宋" w:eastAsia="仿宋" w:cs="Calibri"/>
                <w:sz w:val="24"/>
              </w:rPr>
              <w:t>（3）</w:t>
            </w:r>
            <w:r>
              <w:rPr>
                <w:rFonts w:ascii="仿宋" w:hAnsi="仿宋" w:eastAsia="仿宋" w:cs="Calibri"/>
                <w:sz w:val="24"/>
              </w:rPr>
              <w:t>收尾工作。对现场进行检查，做好清理工作。</w:t>
            </w:r>
          </w:p>
        </w:tc>
      </w:tr>
      <w:tr w14:paraId="3E2B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vMerge w:val="restart"/>
            <w:shd w:val="clear" w:color="auto" w:fill="auto"/>
            <w:noWrap w:val="0"/>
            <w:vAlign w:val="center"/>
          </w:tcPr>
          <w:p w14:paraId="6D082343">
            <w:pPr>
              <w:widowControl/>
              <w:snapToGrid w:val="0"/>
              <w:spacing w:line="300" w:lineRule="auto"/>
              <w:jc w:val="center"/>
              <w:rPr>
                <w:rFonts w:ascii="仿宋" w:hAnsi="仿宋" w:eastAsia="仿宋" w:cs="Calibri"/>
                <w:sz w:val="24"/>
              </w:rPr>
            </w:pPr>
            <w:r>
              <w:rPr>
                <w:rFonts w:ascii="仿宋" w:hAnsi="仿宋" w:eastAsia="仿宋" w:cs="Calibri"/>
                <w:sz w:val="24"/>
              </w:rPr>
              <w:t>6</w:t>
            </w:r>
          </w:p>
        </w:tc>
        <w:tc>
          <w:tcPr>
            <w:tcW w:w="1913" w:type="dxa"/>
            <w:vMerge w:val="restart"/>
            <w:shd w:val="clear" w:color="auto" w:fill="auto"/>
            <w:noWrap w:val="0"/>
            <w:vAlign w:val="center"/>
          </w:tcPr>
          <w:p w14:paraId="3271DB27">
            <w:pPr>
              <w:widowControl/>
              <w:snapToGrid w:val="0"/>
              <w:spacing w:line="300" w:lineRule="auto"/>
              <w:rPr>
                <w:rFonts w:ascii="仿宋" w:hAnsi="仿宋" w:eastAsia="仿宋" w:cs="Calibri"/>
                <w:sz w:val="24"/>
              </w:rPr>
            </w:pPr>
            <w:r>
              <w:rPr>
                <w:rFonts w:ascii="仿宋" w:hAnsi="仿宋" w:eastAsia="仿宋" w:cs="Calibri"/>
                <w:sz w:val="24"/>
              </w:rPr>
              <w:t>应急保障预案</w:t>
            </w:r>
          </w:p>
        </w:tc>
        <w:tc>
          <w:tcPr>
            <w:tcW w:w="5593" w:type="dxa"/>
            <w:shd w:val="clear" w:color="auto" w:fill="auto"/>
            <w:noWrap w:val="0"/>
            <w:vAlign w:val="center"/>
          </w:tcPr>
          <w:p w14:paraId="01E10033">
            <w:pPr>
              <w:widowControl/>
              <w:snapToGrid w:val="0"/>
              <w:spacing w:line="300" w:lineRule="auto"/>
              <w:jc w:val="left"/>
              <w:rPr>
                <w:rFonts w:ascii="仿宋" w:hAnsi="仿宋" w:eastAsia="仿宋" w:cs="Calibri"/>
                <w:sz w:val="24"/>
              </w:rPr>
            </w:pPr>
            <w:r>
              <w:rPr>
                <w:rFonts w:hint="eastAsia" w:ascii="仿宋" w:hAnsi="仿宋" w:eastAsia="仿宋" w:cs="Calibri"/>
                <w:sz w:val="24"/>
              </w:rPr>
              <w:t>（1）</w:t>
            </w:r>
            <w:r>
              <w:rPr>
                <w:rFonts w:ascii="仿宋" w:hAnsi="仿宋" w:eastAsia="仿宋" w:cs="Calibri"/>
                <w:sz w:val="24"/>
              </w:rPr>
              <w:t>重点区域及安全隐患排查。结合项目的实际情况，对重点部位及危险隐患进行排查，并建立清单/台账；应</w:t>
            </w:r>
            <w:r>
              <w:rPr>
                <w:rFonts w:hint="eastAsia" w:ascii="仿宋" w:hAnsi="仿宋" w:eastAsia="仿宋" w:cs="Calibri"/>
                <w:sz w:val="24"/>
              </w:rPr>
              <w:t>当</w:t>
            </w:r>
            <w:r>
              <w:rPr>
                <w:rFonts w:ascii="仿宋" w:hAnsi="仿宋" w:eastAsia="仿宋" w:cs="Calibri"/>
                <w:sz w:val="24"/>
              </w:rPr>
              <w:t>对危险隐患进行风险分析，制定相应措施进行控制或整改并定期监控；随着设施设备、服务内容的变化，及时更新清单/台账，使风险隐患始终处于受控状态</w:t>
            </w:r>
            <w:r>
              <w:rPr>
                <w:rFonts w:hint="eastAsia" w:ascii="仿宋" w:hAnsi="仿宋" w:eastAsia="仿宋" w:cs="Calibri"/>
                <w:sz w:val="24"/>
              </w:rPr>
              <w:t>。</w:t>
            </w:r>
          </w:p>
        </w:tc>
      </w:tr>
      <w:tr w14:paraId="61E5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vMerge w:val="continue"/>
            <w:shd w:val="clear" w:color="auto" w:fill="auto"/>
            <w:noWrap w:val="0"/>
            <w:vAlign w:val="center"/>
          </w:tcPr>
          <w:p w14:paraId="16D64367">
            <w:pPr>
              <w:widowControl/>
              <w:snapToGrid w:val="0"/>
              <w:spacing w:line="300" w:lineRule="auto"/>
              <w:jc w:val="center"/>
              <w:rPr>
                <w:rFonts w:ascii="仿宋" w:hAnsi="仿宋" w:eastAsia="仿宋" w:cs="Calibri"/>
                <w:sz w:val="24"/>
              </w:rPr>
            </w:pPr>
          </w:p>
        </w:tc>
        <w:tc>
          <w:tcPr>
            <w:tcW w:w="1913" w:type="dxa"/>
            <w:vMerge w:val="continue"/>
            <w:shd w:val="clear" w:color="auto" w:fill="auto"/>
            <w:noWrap w:val="0"/>
            <w:vAlign w:val="center"/>
          </w:tcPr>
          <w:p w14:paraId="46A06A06">
            <w:pPr>
              <w:widowControl/>
              <w:snapToGrid w:val="0"/>
              <w:spacing w:line="300" w:lineRule="auto"/>
              <w:rPr>
                <w:rFonts w:ascii="仿宋" w:hAnsi="仿宋" w:eastAsia="仿宋" w:cs="Calibri"/>
                <w:sz w:val="24"/>
              </w:rPr>
            </w:pPr>
          </w:p>
        </w:tc>
        <w:tc>
          <w:tcPr>
            <w:tcW w:w="5593" w:type="dxa"/>
            <w:shd w:val="clear" w:color="auto" w:fill="auto"/>
            <w:noWrap w:val="0"/>
            <w:vAlign w:val="center"/>
          </w:tcPr>
          <w:p w14:paraId="58AF84A5">
            <w:pPr>
              <w:widowControl/>
              <w:snapToGrid w:val="0"/>
              <w:spacing w:line="300" w:lineRule="auto"/>
              <w:jc w:val="left"/>
              <w:rPr>
                <w:rFonts w:ascii="仿宋" w:hAnsi="仿宋" w:eastAsia="仿宋" w:cs="Calibri"/>
                <w:sz w:val="24"/>
              </w:rPr>
            </w:pPr>
            <w:r>
              <w:rPr>
                <w:rFonts w:hint="eastAsia" w:ascii="仿宋" w:hAnsi="仿宋" w:eastAsia="仿宋" w:cs="Calibri"/>
                <w:sz w:val="24"/>
              </w:rPr>
              <w:t>（2）</w:t>
            </w:r>
            <w:r>
              <w:rPr>
                <w:rFonts w:ascii="仿宋" w:hAnsi="仿宋" w:eastAsia="仿宋" w:cs="Calibri"/>
                <w:sz w:val="24"/>
              </w:rPr>
              <w:t>应急预案的建立。根据办公楼隐患排查的结果和实际情况，制定专项预案，包括但不限于：火情火警紧急处理应急预案、紧急疏散应急预案、</w:t>
            </w:r>
            <w:r>
              <w:rPr>
                <w:rFonts w:hint="eastAsia" w:ascii="仿宋" w:hAnsi="仿宋" w:eastAsia="仿宋" w:cs="Calibri"/>
                <w:sz w:val="24"/>
              </w:rPr>
              <w:t>停水</w:t>
            </w:r>
            <w:r>
              <w:rPr>
                <w:rFonts w:ascii="仿宋" w:hAnsi="仿宋" w:eastAsia="仿宋" w:cs="Calibri"/>
                <w:sz w:val="24"/>
              </w:rPr>
              <w:t>停电应急预案、有限空间救援应急预案、高空作业救援应急预案、恶劣天气应对应急预案等</w:t>
            </w:r>
            <w:r>
              <w:rPr>
                <w:rFonts w:hint="eastAsia" w:ascii="仿宋" w:hAnsi="仿宋" w:eastAsia="仿宋" w:cs="Calibri"/>
                <w:sz w:val="24"/>
              </w:rPr>
              <w:t>。</w:t>
            </w:r>
          </w:p>
        </w:tc>
      </w:tr>
      <w:tr w14:paraId="530C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vMerge w:val="continue"/>
            <w:shd w:val="clear" w:color="auto" w:fill="auto"/>
            <w:noWrap w:val="0"/>
            <w:vAlign w:val="center"/>
          </w:tcPr>
          <w:p w14:paraId="25BF04C5">
            <w:pPr>
              <w:widowControl/>
              <w:snapToGrid w:val="0"/>
              <w:spacing w:line="300" w:lineRule="auto"/>
              <w:jc w:val="center"/>
              <w:rPr>
                <w:rFonts w:ascii="仿宋" w:hAnsi="仿宋" w:eastAsia="仿宋" w:cs="Calibri"/>
                <w:sz w:val="24"/>
              </w:rPr>
            </w:pPr>
          </w:p>
        </w:tc>
        <w:tc>
          <w:tcPr>
            <w:tcW w:w="1913" w:type="dxa"/>
            <w:vMerge w:val="continue"/>
            <w:shd w:val="clear" w:color="auto" w:fill="auto"/>
            <w:noWrap w:val="0"/>
            <w:vAlign w:val="center"/>
          </w:tcPr>
          <w:p w14:paraId="6F69DCE7">
            <w:pPr>
              <w:widowControl/>
              <w:snapToGrid w:val="0"/>
              <w:spacing w:line="300" w:lineRule="auto"/>
              <w:rPr>
                <w:rFonts w:ascii="仿宋" w:hAnsi="仿宋" w:eastAsia="仿宋" w:cs="Calibri"/>
                <w:sz w:val="24"/>
              </w:rPr>
            </w:pPr>
          </w:p>
        </w:tc>
        <w:tc>
          <w:tcPr>
            <w:tcW w:w="5593" w:type="dxa"/>
            <w:shd w:val="clear" w:color="auto" w:fill="auto"/>
            <w:noWrap w:val="0"/>
            <w:vAlign w:val="center"/>
          </w:tcPr>
          <w:p w14:paraId="16A399BC">
            <w:pPr>
              <w:widowControl/>
              <w:snapToGrid w:val="0"/>
              <w:spacing w:line="300" w:lineRule="auto"/>
              <w:jc w:val="left"/>
              <w:rPr>
                <w:rFonts w:ascii="仿宋" w:hAnsi="仿宋" w:eastAsia="仿宋" w:cs="Calibri"/>
                <w:sz w:val="24"/>
              </w:rPr>
            </w:pPr>
            <w:r>
              <w:rPr>
                <w:rFonts w:hint="eastAsia" w:ascii="仿宋" w:hAnsi="仿宋" w:eastAsia="仿宋" w:cs="Calibri"/>
                <w:sz w:val="24"/>
              </w:rPr>
              <w:t>（3）</w:t>
            </w:r>
            <w:r>
              <w:rPr>
                <w:rFonts w:ascii="仿宋" w:hAnsi="仿宋" w:eastAsia="仿宋" w:cs="Calibri"/>
                <w:sz w:val="24"/>
              </w:rPr>
              <w:t>应急预案的培训和演练。应急预案定期培训和演练，组织相关岗位每半年至少开展一次专项应急预案演练；留存培训及演练记录和影像资料，并对预案进行评价，确保与实际情况相结合</w:t>
            </w:r>
            <w:r>
              <w:rPr>
                <w:rFonts w:hint="eastAsia" w:ascii="仿宋" w:hAnsi="仿宋" w:eastAsia="仿宋" w:cs="Calibri"/>
                <w:sz w:val="24"/>
              </w:rPr>
              <w:t>。</w:t>
            </w:r>
          </w:p>
        </w:tc>
      </w:tr>
      <w:tr w14:paraId="4239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780" w:type="dxa"/>
            <w:vMerge w:val="continue"/>
            <w:shd w:val="clear" w:color="auto" w:fill="auto"/>
            <w:noWrap w:val="0"/>
            <w:vAlign w:val="center"/>
          </w:tcPr>
          <w:p w14:paraId="08A20BA4">
            <w:pPr>
              <w:widowControl/>
              <w:snapToGrid w:val="0"/>
              <w:spacing w:line="300" w:lineRule="auto"/>
              <w:jc w:val="center"/>
              <w:rPr>
                <w:rFonts w:ascii="仿宋" w:hAnsi="仿宋" w:eastAsia="仿宋" w:cs="Calibri"/>
                <w:sz w:val="24"/>
              </w:rPr>
            </w:pPr>
          </w:p>
        </w:tc>
        <w:tc>
          <w:tcPr>
            <w:tcW w:w="1913" w:type="dxa"/>
            <w:vMerge w:val="continue"/>
            <w:shd w:val="clear" w:color="auto" w:fill="auto"/>
            <w:noWrap w:val="0"/>
            <w:vAlign w:val="center"/>
          </w:tcPr>
          <w:p w14:paraId="782CE09E">
            <w:pPr>
              <w:widowControl/>
              <w:snapToGrid w:val="0"/>
              <w:spacing w:line="300" w:lineRule="auto"/>
              <w:rPr>
                <w:rFonts w:ascii="仿宋" w:hAnsi="仿宋" w:eastAsia="仿宋" w:cs="Calibri"/>
                <w:sz w:val="24"/>
              </w:rPr>
            </w:pPr>
          </w:p>
        </w:tc>
        <w:tc>
          <w:tcPr>
            <w:tcW w:w="5593" w:type="dxa"/>
            <w:shd w:val="clear" w:color="auto" w:fill="auto"/>
            <w:noWrap w:val="0"/>
            <w:vAlign w:val="center"/>
          </w:tcPr>
          <w:p w14:paraId="058E0221">
            <w:pPr>
              <w:widowControl/>
              <w:snapToGrid w:val="0"/>
              <w:spacing w:line="300" w:lineRule="auto"/>
              <w:jc w:val="left"/>
              <w:rPr>
                <w:rFonts w:ascii="仿宋" w:hAnsi="仿宋" w:eastAsia="仿宋" w:cs="Calibri"/>
                <w:sz w:val="24"/>
              </w:rPr>
            </w:pPr>
            <w:r>
              <w:rPr>
                <w:rFonts w:hint="eastAsia" w:ascii="仿宋" w:hAnsi="仿宋" w:eastAsia="仿宋" w:cs="Calibri"/>
                <w:sz w:val="24"/>
              </w:rPr>
              <w:t>（4）</w:t>
            </w:r>
            <w:r>
              <w:rPr>
                <w:rFonts w:ascii="仿宋" w:hAnsi="仿宋" w:eastAsia="仿宋" w:cs="Calibri"/>
                <w:sz w:val="24"/>
              </w:rPr>
              <w:t>应急物资的管理。根据专项预案中的应对需要</w:t>
            </w:r>
            <w:r>
              <w:rPr>
                <w:rFonts w:hint="eastAsia" w:ascii="仿宋" w:hAnsi="仿宋" w:eastAsia="仿宋" w:cs="Calibri"/>
                <w:sz w:val="24"/>
              </w:rPr>
              <w:t>、</w:t>
            </w:r>
            <w:r>
              <w:rPr>
                <w:rFonts w:ascii="仿宋" w:hAnsi="仿宋" w:eastAsia="仿宋" w:cs="Calibri"/>
                <w:sz w:val="24"/>
              </w:rPr>
              <w:t>必要的应急物资，建立清单或台账，并由专人定期对应急物资进行检查，</w:t>
            </w:r>
            <w:r>
              <w:rPr>
                <w:rFonts w:hint="eastAsia" w:ascii="仿宋" w:hAnsi="仿宋" w:eastAsia="仿宋" w:cs="Calibri"/>
                <w:sz w:val="24"/>
              </w:rPr>
              <w:t>如有应急物资不足，及时通知采购人购置齐全，</w:t>
            </w:r>
            <w:r>
              <w:rPr>
                <w:rFonts w:ascii="仿宋" w:hAnsi="仿宋" w:eastAsia="仿宋" w:cs="Calibri"/>
                <w:sz w:val="24"/>
              </w:rPr>
              <w:t>确保能够随时正常使用。</w:t>
            </w:r>
          </w:p>
        </w:tc>
      </w:tr>
      <w:tr w14:paraId="4D2E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vMerge w:val="restart"/>
            <w:shd w:val="clear" w:color="auto" w:fill="auto"/>
            <w:noWrap w:val="0"/>
            <w:vAlign w:val="center"/>
          </w:tcPr>
          <w:p w14:paraId="1A7C085F">
            <w:pPr>
              <w:widowControl/>
              <w:snapToGrid w:val="0"/>
              <w:spacing w:line="300" w:lineRule="auto"/>
              <w:jc w:val="center"/>
              <w:rPr>
                <w:rFonts w:ascii="仿宋" w:hAnsi="仿宋" w:eastAsia="仿宋" w:cs="Calibri"/>
                <w:sz w:val="24"/>
              </w:rPr>
            </w:pPr>
            <w:r>
              <w:rPr>
                <w:rFonts w:ascii="仿宋" w:hAnsi="仿宋" w:eastAsia="仿宋" w:cs="Calibri"/>
                <w:sz w:val="24"/>
              </w:rPr>
              <w:t>7</w:t>
            </w:r>
          </w:p>
        </w:tc>
        <w:tc>
          <w:tcPr>
            <w:tcW w:w="1913" w:type="dxa"/>
            <w:vMerge w:val="restart"/>
            <w:shd w:val="clear" w:color="auto" w:fill="auto"/>
            <w:noWrap w:val="0"/>
            <w:vAlign w:val="center"/>
          </w:tcPr>
          <w:p w14:paraId="65FA12C6">
            <w:pPr>
              <w:widowControl/>
              <w:snapToGrid w:val="0"/>
              <w:spacing w:line="300" w:lineRule="auto"/>
              <w:rPr>
                <w:rFonts w:ascii="仿宋" w:hAnsi="仿宋" w:eastAsia="仿宋" w:cs="Calibri"/>
                <w:sz w:val="24"/>
              </w:rPr>
            </w:pPr>
            <w:r>
              <w:rPr>
                <w:rFonts w:ascii="仿宋" w:hAnsi="仿宋" w:eastAsia="仿宋" w:cs="Calibri"/>
                <w:sz w:val="24"/>
              </w:rPr>
              <w:t>服务方案</w:t>
            </w:r>
            <w:r>
              <w:rPr>
                <w:rFonts w:hint="eastAsia" w:ascii="仿宋" w:hAnsi="仿宋" w:eastAsia="仿宋" w:cs="Calibri"/>
                <w:sz w:val="24"/>
              </w:rPr>
              <w:t>及工作制度</w:t>
            </w:r>
          </w:p>
        </w:tc>
        <w:tc>
          <w:tcPr>
            <w:tcW w:w="5593" w:type="dxa"/>
            <w:shd w:val="clear" w:color="auto" w:fill="auto"/>
            <w:noWrap w:val="0"/>
            <w:vAlign w:val="center"/>
          </w:tcPr>
          <w:p w14:paraId="4D0D9E53">
            <w:pPr>
              <w:widowControl/>
              <w:snapToGrid w:val="0"/>
              <w:spacing w:line="300" w:lineRule="auto"/>
              <w:jc w:val="left"/>
              <w:rPr>
                <w:rFonts w:ascii="仿宋" w:hAnsi="仿宋" w:eastAsia="仿宋" w:cs="Calibri"/>
                <w:bCs/>
                <w:sz w:val="24"/>
              </w:rPr>
            </w:pPr>
            <w:r>
              <w:rPr>
                <w:rFonts w:hint="eastAsia" w:ascii="仿宋" w:hAnsi="仿宋" w:eastAsia="仿宋" w:cs="Calibri"/>
                <w:sz w:val="24"/>
              </w:rPr>
              <w:t>（1）制定工作制度，</w:t>
            </w:r>
            <w:r>
              <w:rPr>
                <w:rFonts w:hint="eastAsia" w:ascii="仿宋" w:hAnsi="仿宋" w:eastAsia="仿宋" w:cs="Calibri"/>
                <w:bCs/>
                <w:sz w:val="24"/>
              </w:rPr>
              <w:t>主要</w:t>
            </w:r>
            <w:r>
              <w:rPr>
                <w:rFonts w:ascii="仿宋" w:hAnsi="仿宋" w:eastAsia="仿宋" w:cs="Calibri"/>
                <w:bCs/>
                <w:sz w:val="24"/>
              </w:rPr>
              <w:t>包括：</w:t>
            </w:r>
            <w:r>
              <w:rPr>
                <w:rFonts w:hint="eastAsia" w:ascii="仿宋" w:hAnsi="仿宋" w:eastAsia="仿宋" w:cs="Calibri"/>
                <w:bCs/>
                <w:sz w:val="24"/>
              </w:rPr>
              <w:t>人员录用制度、</w:t>
            </w:r>
            <w:r>
              <w:rPr>
                <w:rFonts w:ascii="仿宋" w:hAnsi="仿宋" w:eastAsia="仿宋" w:cs="Calibri"/>
                <w:sz w:val="24"/>
              </w:rPr>
              <w:t>档案管理制度</w:t>
            </w:r>
            <w:r>
              <w:rPr>
                <w:rFonts w:hint="eastAsia" w:ascii="仿宋" w:hAnsi="仿宋" w:eastAsia="仿宋" w:cs="Calibri"/>
                <w:sz w:val="24"/>
              </w:rPr>
              <w:t>、</w:t>
            </w:r>
            <w:r>
              <w:rPr>
                <w:rFonts w:ascii="仿宋" w:hAnsi="仿宋" w:eastAsia="仿宋" w:cs="Calibri"/>
                <w:bCs/>
                <w:sz w:val="24"/>
              </w:rPr>
              <w:t>物业服务管理制度</w:t>
            </w:r>
            <w:r>
              <w:rPr>
                <w:rFonts w:hint="eastAsia" w:ascii="仿宋" w:hAnsi="仿宋" w:eastAsia="仿宋" w:cs="Calibri"/>
                <w:bCs/>
                <w:sz w:val="24"/>
              </w:rPr>
              <w:t>、</w:t>
            </w:r>
            <w:r>
              <w:rPr>
                <w:rFonts w:hint="eastAsia" w:ascii="仿宋" w:hAnsi="仿宋" w:eastAsia="仿宋" w:cs="Calibri"/>
                <w:sz w:val="24"/>
              </w:rPr>
              <w:t>公用设施设备相关管理制度等</w:t>
            </w:r>
            <w:r>
              <w:rPr>
                <w:rFonts w:hint="eastAsia" w:ascii="仿宋" w:hAnsi="仿宋" w:eastAsia="仿宋" w:cs="Calibri"/>
                <w:bCs/>
                <w:sz w:val="24"/>
              </w:rPr>
              <w:t>。</w:t>
            </w:r>
          </w:p>
        </w:tc>
      </w:tr>
      <w:tr w14:paraId="03E8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vMerge w:val="continue"/>
            <w:shd w:val="clear" w:color="auto" w:fill="auto"/>
            <w:noWrap w:val="0"/>
            <w:vAlign w:val="center"/>
          </w:tcPr>
          <w:p w14:paraId="2CCA079E">
            <w:pPr>
              <w:widowControl/>
              <w:snapToGrid w:val="0"/>
              <w:spacing w:line="300" w:lineRule="auto"/>
              <w:jc w:val="center"/>
              <w:rPr>
                <w:rFonts w:ascii="仿宋" w:hAnsi="仿宋" w:eastAsia="仿宋" w:cs="Calibri"/>
                <w:sz w:val="24"/>
              </w:rPr>
            </w:pPr>
          </w:p>
        </w:tc>
        <w:tc>
          <w:tcPr>
            <w:tcW w:w="1913" w:type="dxa"/>
            <w:vMerge w:val="continue"/>
            <w:shd w:val="clear" w:color="auto" w:fill="auto"/>
            <w:noWrap w:val="0"/>
            <w:vAlign w:val="center"/>
          </w:tcPr>
          <w:p w14:paraId="52F25965">
            <w:pPr>
              <w:widowControl/>
              <w:snapToGrid w:val="0"/>
              <w:spacing w:line="300" w:lineRule="auto"/>
              <w:rPr>
                <w:rFonts w:ascii="仿宋" w:hAnsi="仿宋" w:eastAsia="仿宋" w:cs="Calibri"/>
                <w:sz w:val="24"/>
              </w:rPr>
            </w:pPr>
          </w:p>
        </w:tc>
        <w:tc>
          <w:tcPr>
            <w:tcW w:w="5593" w:type="dxa"/>
            <w:shd w:val="clear" w:color="auto" w:fill="auto"/>
            <w:noWrap w:val="0"/>
            <w:vAlign w:val="center"/>
          </w:tcPr>
          <w:p w14:paraId="3189F378">
            <w:pPr>
              <w:widowControl/>
              <w:snapToGrid w:val="0"/>
              <w:spacing w:line="300" w:lineRule="auto"/>
              <w:jc w:val="left"/>
              <w:rPr>
                <w:rFonts w:ascii="仿宋" w:hAnsi="仿宋" w:eastAsia="仿宋" w:cs="Calibri"/>
                <w:sz w:val="24"/>
              </w:rPr>
            </w:pPr>
            <w:r>
              <w:rPr>
                <w:rFonts w:hint="eastAsia" w:ascii="仿宋" w:hAnsi="仿宋" w:eastAsia="仿宋" w:cs="Calibri"/>
                <w:sz w:val="24"/>
              </w:rPr>
              <w:t>（2）制定</w:t>
            </w:r>
            <w:r>
              <w:rPr>
                <w:rFonts w:ascii="仿宋" w:hAnsi="仿宋" w:eastAsia="仿宋" w:cs="Calibri"/>
                <w:bCs/>
                <w:sz w:val="24"/>
              </w:rPr>
              <w:t>项目实施方案</w:t>
            </w:r>
            <w:r>
              <w:rPr>
                <w:rFonts w:hint="eastAsia" w:ascii="仿宋" w:hAnsi="仿宋" w:eastAsia="仿宋" w:cs="Calibri"/>
                <w:bCs/>
                <w:sz w:val="24"/>
              </w:rPr>
              <w:t>，主要</w:t>
            </w:r>
            <w:r>
              <w:rPr>
                <w:rFonts w:ascii="仿宋" w:hAnsi="仿宋" w:eastAsia="仿宋" w:cs="Calibri"/>
                <w:bCs/>
                <w:sz w:val="24"/>
              </w:rPr>
              <w:t>包括：</w:t>
            </w:r>
            <w:r>
              <w:rPr>
                <w:rFonts w:hint="eastAsia" w:ascii="仿宋" w:hAnsi="仿宋" w:eastAsia="仿宋" w:cs="Calibri"/>
                <w:bCs/>
                <w:sz w:val="24"/>
              </w:rPr>
              <w:t>交接</w:t>
            </w:r>
            <w:r>
              <w:rPr>
                <w:rFonts w:ascii="仿宋" w:hAnsi="仿宋" w:eastAsia="仿宋" w:cs="Calibri"/>
                <w:bCs/>
                <w:sz w:val="24"/>
              </w:rPr>
              <w:t>方案、人员培训</w:t>
            </w:r>
            <w:r>
              <w:rPr>
                <w:rFonts w:hint="eastAsia" w:ascii="仿宋" w:hAnsi="仿宋" w:eastAsia="仿宋" w:cs="Calibri"/>
                <w:bCs/>
                <w:sz w:val="24"/>
              </w:rPr>
              <w:t>考核</w:t>
            </w:r>
            <w:r>
              <w:rPr>
                <w:rFonts w:ascii="仿宋" w:hAnsi="仿宋" w:eastAsia="仿宋" w:cs="Calibri"/>
                <w:bCs/>
                <w:sz w:val="24"/>
              </w:rPr>
              <w:t>方案</w:t>
            </w:r>
            <w:r>
              <w:rPr>
                <w:rFonts w:hint="eastAsia" w:ascii="仿宋" w:hAnsi="仿宋" w:eastAsia="仿宋" w:cs="Calibri"/>
                <w:bCs/>
                <w:sz w:val="24"/>
              </w:rPr>
              <w:t>等</w:t>
            </w:r>
            <w:r>
              <w:rPr>
                <w:rFonts w:ascii="仿宋" w:hAnsi="仿宋" w:eastAsia="仿宋" w:cs="Calibri"/>
                <w:bCs/>
                <w:sz w:val="24"/>
              </w:rPr>
              <w:t>。</w:t>
            </w:r>
          </w:p>
        </w:tc>
      </w:tr>
      <w:tr w14:paraId="11C0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80" w:type="dxa"/>
            <w:vMerge w:val="continue"/>
            <w:shd w:val="clear" w:color="auto" w:fill="auto"/>
            <w:noWrap w:val="0"/>
            <w:vAlign w:val="center"/>
          </w:tcPr>
          <w:p w14:paraId="1B0331DD">
            <w:pPr>
              <w:widowControl/>
              <w:snapToGrid w:val="0"/>
              <w:spacing w:line="300" w:lineRule="auto"/>
              <w:jc w:val="center"/>
              <w:rPr>
                <w:rFonts w:ascii="仿宋" w:hAnsi="仿宋" w:eastAsia="仿宋" w:cs="Calibri"/>
                <w:sz w:val="24"/>
              </w:rPr>
            </w:pPr>
          </w:p>
        </w:tc>
        <w:tc>
          <w:tcPr>
            <w:tcW w:w="1913" w:type="dxa"/>
            <w:vMerge w:val="continue"/>
            <w:shd w:val="clear" w:color="auto" w:fill="auto"/>
            <w:noWrap w:val="0"/>
            <w:vAlign w:val="center"/>
          </w:tcPr>
          <w:p w14:paraId="306066B2">
            <w:pPr>
              <w:widowControl/>
              <w:snapToGrid w:val="0"/>
              <w:spacing w:line="300" w:lineRule="auto"/>
              <w:rPr>
                <w:rFonts w:ascii="仿宋" w:hAnsi="仿宋" w:eastAsia="仿宋" w:cs="Calibri"/>
                <w:sz w:val="24"/>
              </w:rPr>
            </w:pPr>
          </w:p>
        </w:tc>
        <w:tc>
          <w:tcPr>
            <w:tcW w:w="5593" w:type="dxa"/>
            <w:shd w:val="clear" w:color="auto" w:fill="auto"/>
            <w:noWrap w:val="0"/>
            <w:vAlign w:val="center"/>
          </w:tcPr>
          <w:p w14:paraId="02BB7D20">
            <w:pPr>
              <w:widowControl/>
              <w:snapToGrid w:val="0"/>
              <w:spacing w:line="300" w:lineRule="auto"/>
              <w:jc w:val="left"/>
              <w:rPr>
                <w:rFonts w:ascii="仿宋" w:hAnsi="仿宋" w:eastAsia="仿宋" w:cs="Calibri"/>
                <w:sz w:val="24"/>
              </w:rPr>
            </w:pPr>
            <w:r>
              <w:rPr>
                <w:rFonts w:hint="eastAsia" w:ascii="仿宋" w:hAnsi="仿宋" w:eastAsia="仿宋" w:cs="Calibri"/>
                <w:sz w:val="24"/>
              </w:rPr>
              <w:t>（3）制定</w:t>
            </w:r>
            <w:r>
              <w:rPr>
                <w:rFonts w:ascii="仿宋" w:hAnsi="仿宋" w:eastAsia="仿宋" w:cs="Calibri"/>
                <w:bCs/>
                <w:sz w:val="24"/>
              </w:rPr>
              <w:t>物业服务方案</w:t>
            </w:r>
            <w:r>
              <w:rPr>
                <w:rFonts w:hint="eastAsia" w:ascii="仿宋" w:hAnsi="仿宋" w:eastAsia="仿宋" w:cs="Calibri"/>
                <w:bCs/>
                <w:sz w:val="24"/>
              </w:rPr>
              <w:t>，主要</w:t>
            </w:r>
            <w:r>
              <w:rPr>
                <w:rFonts w:ascii="仿宋" w:hAnsi="仿宋" w:eastAsia="仿宋" w:cs="Calibri"/>
                <w:bCs/>
                <w:sz w:val="24"/>
              </w:rPr>
              <w:t>包括：</w:t>
            </w:r>
            <w:r>
              <w:rPr>
                <w:rFonts w:hint="eastAsia" w:ascii="仿宋" w:hAnsi="仿宋" w:eastAsia="仿宋" w:cs="Calibri"/>
                <w:bCs/>
                <w:sz w:val="24"/>
              </w:rPr>
              <w:t>房屋维护服务方案、公用设施设备维护服务方案、</w:t>
            </w:r>
            <w:r>
              <w:rPr>
                <w:rFonts w:ascii="仿宋" w:hAnsi="仿宋" w:eastAsia="仿宋" w:cs="Calibri"/>
                <w:bCs/>
                <w:sz w:val="24"/>
              </w:rPr>
              <w:t>绿化服务方案</w:t>
            </w:r>
            <w:r>
              <w:rPr>
                <w:rFonts w:hint="eastAsia" w:ascii="仿宋" w:hAnsi="仿宋" w:eastAsia="仿宋" w:cs="Calibri"/>
                <w:bCs/>
                <w:sz w:val="24"/>
              </w:rPr>
              <w:t>、</w:t>
            </w:r>
            <w:r>
              <w:rPr>
                <w:rFonts w:ascii="仿宋" w:hAnsi="仿宋" w:eastAsia="仿宋" w:cs="Calibri"/>
                <w:bCs/>
                <w:sz w:val="24"/>
              </w:rPr>
              <w:t>保洁服务方案</w:t>
            </w:r>
            <w:r>
              <w:rPr>
                <w:rFonts w:hint="eastAsia" w:ascii="仿宋" w:hAnsi="仿宋" w:eastAsia="仿宋" w:cs="Calibri"/>
                <w:bCs/>
                <w:sz w:val="24"/>
              </w:rPr>
              <w:t>等</w:t>
            </w:r>
            <w:r>
              <w:rPr>
                <w:rFonts w:ascii="仿宋" w:hAnsi="仿宋" w:eastAsia="仿宋" w:cs="Calibri"/>
                <w:bCs/>
                <w:sz w:val="24"/>
              </w:rPr>
              <w:t>。</w:t>
            </w:r>
          </w:p>
        </w:tc>
      </w:tr>
      <w:tr w14:paraId="5BAF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80" w:type="dxa"/>
            <w:vMerge w:val="continue"/>
            <w:shd w:val="clear" w:color="auto" w:fill="auto"/>
            <w:noWrap w:val="0"/>
            <w:vAlign w:val="center"/>
          </w:tcPr>
          <w:p w14:paraId="079D5711">
            <w:pPr>
              <w:widowControl/>
              <w:snapToGrid w:val="0"/>
              <w:spacing w:line="300" w:lineRule="auto"/>
              <w:jc w:val="center"/>
              <w:rPr>
                <w:rFonts w:ascii="仿宋" w:hAnsi="仿宋" w:eastAsia="仿宋" w:cs="Calibri"/>
                <w:sz w:val="24"/>
              </w:rPr>
            </w:pPr>
          </w:p>
        </w:tc>
        <w:tc>
          <w:tcPr>
            <w:tcW w:w="1913" w:type="dxa"/>
            <w:vMerge w:val="continue"/>
            <w:shd w:val="clear" w:color="auto" w:fill="auto"/>
            <w:noWrap w:val="0"/>
            <w:vAlign w:val="center"/>
          </w:tcPr>
          <w:p w14:paraId="4BC7384C">
            <w:pPr>
              <w:widowControl/>
              <w:snapToGrid w:val="0"/>
              <w:spacing w:line="300" w:lineRule="auto"/>
              <w:rPr>
                <w:rFonts w:ascii="仿宋" w:hAnsi="仿宋" w:eastAsia="仿宋" w:cs="Calibri"/>
                <w:sz w:val="24"/>
              </w:rPr>
            </w:pPr>
          </w:p>
        </w:tc>
        <w:tc>
          <w:tcPr>
            <w:tcW w:w="5593" w:type="dxa"/>
            <w:shd w:val="clear" w:color="auto" w:fill="auto"/>
            <w:noWrap w:val="0"/>
            <w:vAlign w:val="center"/>
          </w:tcPr>
          <w:p w14:paraId="727E916C">
            <w:pPr>
              <w:widowControl/>
              <w:snapToGrid w:val="0"/>
              <w:spacing w:line="300" w:lineRule="auto"/>
              <w:ind w:firstLine="240" w:firstLineChars="100"/>
              <w:jc w:val="left"/>
              <w:rPr>
                <w:rFonts w:ascii="仿宋" w:hAnsi="仿宋" w:eastAsia="仿宋" w:cs="Calibri"/>
                <w:sz w:val="24"/>
              </w:rPr>
            </w:pPr>
            <w:r>
              <w:rPr>
                <w:rFonts w:hint="eastAsia" w:ascii="仿宋" w:hAnsi="仿宋" w:eastAsia="仿宋" w:cs="Calibri"/>
                <w:sz w:val="24"/>
              </w:rPr>
              <w:t>（4）制定配合学校开展三全育人服务方案，主要包括：物业公司提供个性化的服务育人、劳动教育等相关的后勤育人方案。</w:t>
            </w:r>
          </w:p>
        </w:tc>
      </w:tr>
      <w:tr w14:paraId="4C3B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vMerge w:val="restart"/>
            <w:shd w:val="clear" w:color="auto" w:fill="auto"/>
            <w:noWrap w:val="0"/>
            <w:vAlign w:val="center"/>
          </w:tcPr>
          <w:p w14:paraId="0B96143C">
            <w:pPr>
              <w:widowControl/>
              <w:snapToGrid w:val="0"/>
              <w:spacing w:line="300" w:lineRule="auto"/>
              <w:jc w:val="center"/>
              <w:rPr>
                <w:rFonts w:ascii="仿宋" w:hAnsi="仿宋" w:eastAsia="仿宋" w:cs="Calibri"/>
                <w:sz w:val="24"/>
              </w:rPr>
            </w:pPr>
            <w:r>
              <w:rPr>
                <w:rFonts w:ascii="仿宋" w:hAnsi="仿宋" w:eastAsia="仿宋" w:cs="Calibri"/>
                <w:sz w:val="24"/>
              </w:rPr>
              <w:t>8</w:t>
            </w:r>
          </w:p>
        </w:tc>
        <w:tc>
          <w:tcPr>
            <w:tcW w:w="1913" w:type="dxa"/>
            <w:vMerge w:val="restart"/>
            <w:shd w:val="clear" w:color="auto" w:fill="auto"/>
            <w:noWrap w:val="0"/>
            <w:vAlign w:val="center"/>
          </w:tcPr>
          <w:p w14:paraId="11F4ADDD">
            <w:pPr>
              <w:widowControl/>
              <w:snapToGrid w:val="0"/>
              <w:spacing w:line="300" w:lineRule="auto"/>
              <w:rPr>
                <w:rFonts w:ascii="仿宋" w:hAnsi="仿宋" w:eastAsia="仿宋"/>
                <w:sz w:val="24"/>
              </w:rPr>
            </w:pPr>
            <w:r>
              <w:rPr>
                <w:rFonts w:ascii="仿宋" w:hAnsi="仿宋" w:eastAsia="仿宋"/>
                <w:sz w:val="24"/>
              </w:rPr>
              <w:t>服务</w:t>
            </w:r>
            <w:r>
              <w:rPr>
                <w:rFonts w:hint="eastAsia" w:ascii="仿宋" w:hAnsi="仿宋" w:eastAsia="仿宋"/>
                <w:sz w:val="24"/>
              </w:rPr>
              <w:t>热线、紧急维修及</w:t>
            </w:r>
          </w:p>
        </w:tc>
        <w:tc>
          <w:tcPr>
            <w:tcW w:w="5593" w:type="dxa"/>
            <w:shd w:val="clear" w:color="auto" w:fill="auto"/>
            <w:noWrap w:val="0"/>
            <w:vAlign w:val="center"/>
          </w:tcPr>
          <w:p w14:paraId="48504D60">
            <w:pPr>
              <w:widowControl/>
              <w:snapToGrid w:val="0"/>
              <w:spacing w:line="300" w:lineRule="auto"/>
              <w:jc w:val="left"/>
              <w:rPr>
                <w:rFonts w:ascii="仿宋" w:hAnsi="仿宋" w:eastAsia="仿宋" w:cs="Calibri"/>
                <w:sz w:val="24"/>
              </w:rPr>
            </w:pPr>
            <w:r>
              <w:rPr>
                <w:rFonts w:hint="eastAsia" w:ascii="仿宋" w:hAnsi="仿宋" w:eastAsia="仿宋" w:cs="Calibri"/>
                <w:sz w:val="24"/>
              </w:rPr>
              <w:t>（1）设置24小时报修服务热线统</w:t>
            </w:r>
          </w:p>
        </w:tc>
      </w:tr>
      <w:tr w14:paraId="4F40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80" w:type="dxa"/>
            <w:vMerge w:val="continue"/>
            <w:tcBorders>
              <w:bottom w:val="single" w:color="auto" w:sz="4" w:space="0"/>
            </w:tcBorders>
            <w:shd w:val="clear" w:color="auto" w:fill="auto"/>
            <w:noWrap w:val="0"/>
            <w:vAlign w:val="center"/>
          </w:tcPr>
          <w:p w14:paraId="49C8BCAD">
            <w:pPr>
              <w:widowControl/>
              <w:snapToGrid w:val="0"/>
              <w:spacing w:line="300" w:lineRule="auto"/>
              <w:jc w:val="center"/>
              <w:rPr>
                <w:rFonts w:ascii="仿宋" w:hAnsi="仿宋" w:eastAsia="仿宋" w:cs="Calibri"/>
                <w:sz w:val="24"/>
              </w:rPr>
            </w:pPr>
          </w:p>
        </w:tc>
        <w:tc>
          <w:tcPr>
            <w:tcW w:w="1913" w:type="dxa"/>
            <w:vMerge w:val="continue"/>
            <w:tcBorders>
              <w:bottom w:val="single" w:color="auto" w:sz="4" w:space="0"/>
            </w:tcBorders>
            <w:shd w:val="clear" w:color="auto" w:fill="auto"/>
            <w:noWrap w:val="0"/>
            <w:vAlign w:val="center"/>
          </w:tcPr>
          <w:p w14:paraId="046DB02C">
            <w:pPr>
              <w:widowControl/>
              <w:snapToGrid w:val="0"/>
              <w:spacing w:line="300" w:lineRule="auto"/>
              <w:rPr>
                <w:rFonts w:ascii="仿宋" w:hAnsi="仿宋" w:eastAsia="仿宋"/>
                <w:sz w:val="24"/>
              </w:rPr>
            </w:pPr>
          </w:p>
        </w:tc>
        <w:tc>
          <w:tcPr>
            <w:tcW w:w="5593" w:type="dxa"/>
            <w:tcBorders>
              <w:bottom w:val="single" w:color="auto" w:sz="4" w:space="0"/>
            </w:tcBorders>
            <w:shd w:val="clear" w:color="auto" w:fill="auto"/>
            <w:noWrap w:val="0"/>
            <w:vAlign w:val="center"/>
          </w:tcPr>
          <w:p w14:paraId="31ACDC9F">
            <w:pPr>
              <w:widowControl/>
              <w:snapToGrid w:val="0"/>
              <w:spacing w:line="300" w:lineRule="auto"/>
              <w:jc w:val="left"/>
              <w:rPr>
                <w:rFonts w:ascii="仿宋" w:hAnsi="仿宋" w:eastAsia="仿宋" w:cs="Calibri"/>
                <w:sz w:val="24"/>
              </w:rPr>
            </w:pPr>
            <w:r>
              <w:rPr>
                <w:rFonts w:hint="eastAsia" w:ascii="仿宋" w:hAnsi="仿宋" w:eastAsia="仿宋" w:cs="Calibri"/>
                <w:sz w:val="24"/>
              </w:rPr>
              <w:t>（2）</w:t>
            </w:r>
            <w:r>
              <w:rPr>
                <w:rFonts w:ascii="仿宋" w:hAnsi="仿宋" w:eastAsia="仿宋" w:cs="Calibri"/>
                <w:sz w:val="24"/>
              </w:rPr>
              <w:t>紧急维修</w:t>
            </w:r>
            <w:r>
              <w:rPr>
                <w:rFonts w:hint="eastAsia" w:ascii="仿宋" w:hAnsi="仿宋" w:eastAsia="仿宋" w:cs="Calibri"/>
                <w:sz w:val="24"/>
              </w:rPr>
              <w:t>应当</w:t>
            </w:r>
            <w:r>
              <w:rPr>
                <w:rFonts w:ascii="仿宋" w:hAnsi="仿宋" w:eastAsia="仿宋" w:cs="Calibri"/>
                <w:sz w:val="24"/>
              </w:rPr>
              <w:t>15分钟内到达现场</w:t>
            </w:r>
            <w:r>
              <w:rPr>
                <w:rFonts w:hint="eastAsia" w:ascii="仿宋" w:hAnsi="仿宋" w:eastAsia="仿宋" w:cs="Calibri"/>
                <w:sz w:val="24"/>
              </w:rPr>
              <w:t>，不间断维修直至修复。</w:t>
            </w:r>
          </w:p>
        </w:tc>
      </w:tr>
      <w:tr w14:paraId="6D65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780" w:type="dxa"/>
            <w:shd w:val="clear" w:color="auto" w:fill="auto"/>
            <w:noWrap w:val="0"/>
            <w:vAlign w:val="center"/>
          </w:tcPr>
          <w:p w14:paraId="4D940387">
            <w:pPr>
              <w:widowControl/>
              <w:snapToGrid w:val="0"/>
              <w:spacing w:line="300" w:lineRule="auto"/>
              <w:jc w:val="center"/>
              <w:rPr>
                <w:rFonts w:ascii="仿宋" w:hAnsi="仿宋" w:eastAsia="仿宋" w:cs="Calibri"/>
                <w:sz w:val="24"/>
              </w:rPr>
            </w:pPr>
            <w:r>
              <w:rPr>
                <w:rFonts w:hint="eastAsia" w:ascii="仿宋" w:hAnsi="仿宋" w:eastAsia="仿宋" w:cs="Calibri"/>
                <w:sz w:val="24"/>
              </w:rPr>
              <w:t>9</w:t>
            </w:r>
          </w:p>
        </w:tc>
        <w:tc>
          <w:tcPr>
            <w:tcW w:w="1913" w:type="dxa"/>
            <w:shd w:val="clear" w:color="auto" w:fill="auto"/>
            <w:noWrap w:val="0"/>
            <w:vAlign w:val="center"/>
          </w:tcPr>
          <w:p w14:paraId="4D65FCA0">
            <w:pPr>
              <w:widowControl/>
              <w:snapToGrid w:val="0"/>
              <w:spacing w:line="300" w:lineRule="auto"/>
              <w:rPr>
                <w:rFonts w:ascii="仿宋" w:hAnsi="仿宋" w:eastAsia="仿宋"/>
                <w:sz w:val="24"/>
              </w:rPr>
            </w:pPr>
            <w:r>
              <w:rPr>
                <w:rFonts w:hint="eastAsia" w:ascii="仿宋" w:hAnsi="仿宋" w:eastAsia="仿宋"/>
                <w:sz w:val="24"/>
              </w:rPr>
              <w:t>信息化管理</w:t>
            </w:r>
          </w:p>
        </w:tc>
        <w:tc>
          <w:tcPr>
            <w:tcW w:w="5593" w:type="dxa"/>
            <w:shd w:val="clear" w:color="auto" w:fill="auto"/>
            <w:noWrap w:val="0"/>
            <w:vAlign w:val="center"/>
          </w:tcPr>
          <w:p w14:paraId="02178AAD">
            <w:pPr>
              <w:widowControl/>
              <w:snapToGrid w:val="0"/>
              <w:spacing w:line="300" w:lineRule="auto"/>
              <w:jc w:val="left"/>
              <w:rPr>
                <w:rFonts w:ascii="仿宋" w:hAnsi="仿宋" w:eastAsia="仿宋" w:cs="Calibri"/>
                <w:sz w:val="24"/>
              </w:rPr>
            </w:pPr>
            <w:r>
              <w:rPr>
                <w:rFonts w:hint="eastAsia" w:ascii="仿宋" w:hAnsi="仿宋" w:eastAsia="仿宋" w:cs="Calibri"/>
                <w:sz w:val="24"/>
              </w:rPr>
              <w:t>根据实际配备与本项目服务需求相关报事、报修、巡查、管理系统</w:t>
            </w:r>
          </w:p>
        </w:tc>
      </w:tr>
    </w:tbl>
    <w:p w14:paraId="057C0CBE">
      <w:pPr>
        <w:spacing w:line="360" w:lineRule="auto"/>
        <w:ind w:firstLine="640" w:firstLineChars="200"/>
        <w:rPr>
          <w:rFonts w:ascii="仿宋" w:hAnsi="仿宋" w:eastAsia="仿宋" w:cs="仿宋"/>
          <w:szCs w:val="32"/>
        </w:rPr>
      </w:pPr>
      <w:r>
        <w:rPr>
          <w:rFonts w:hint="eastAsia" w:ascii="仿宋" w:hAnsi="仿宋" w:eastAsia="仿宋" w:cs="仿宋"/>
          <w:szCs w:val="32"/>
        </w:rPr>
        <w:t>2</w:t>
      </w:r>
      <w:r>
        <w:rPr>
          <w:rFonts w:ascii="仿宋" w:hAnsi="仿宋" w:eastAsia="仿宋" w:cs="仿宋"/>
          <w:szCs w:val="32"/>
        </w:rPr>
        <w:t>.</w:t>
      </w:r>
      <w:r>
        <w:rPr>
          <w:rFonts w:hint="eastAsia" w:ascii="仿宋" w:hAnsi="仿宋" w:eastAsia="仿宋" w:cs="宋体"/>
          <w:color w:val="333333"/>
          <w:kern w:val="0"/>
          <w:szCs w:val="32"/>
        </w:rPr>
        <w:t>设施设备维护服务内容、要求及标准</w:t>
      </w:r>
    </w:p>
    <w:p w14:paraId="4B651DB7">
      <w:pPr>
        <w:spacing w:line="360" w:lineRule="auto"/>
        <w:ind w:firstLine="640" w:firstLineChars="200"/>
        <w:rPr>
          <w:rFonts w:ascii="仿宋" w:hAnsi="仿宋" w:eastAsia="仿宋" w:cs="仿宋"/>
          <w:szCs w:val="32"/>
        </w:rPr>
      </w:pPr>
      <w:r>
        <w:rPr>
          <w:rFonts w:ascii="仿宋" w:hAnsi="仿宋" w:eastAsia="仿宋" w:cs="仿宋"/>
          <w:szCs w:val="32"/>
        </w:rPr>
        <w:t>2.</w:t>
      </w:r>
      <w:r>
        <w:rPr>
          <w:rFonts w:hint="eastAsia" w:ascii="仿宋" w:hAnsi="仿宋" w:eastAsia="仿宋" w:cs="仿宋"/>
          <w:szCs w:val="32"/>
        </w:rPr>
        <w:t>1服务内容：</w:t>
      </w:r>
    </w:p>
    <w:p w14:paraId="4DF57F27">
      <w:pPr>
        <w:spacing w:line="360" w:lineRule="auto"/>
        <w:ind w:firstLine="480" w:firstLineChars="200"/>
        <w:rPr>
          <w:rFonts w:ascii="仿宋" w:hAnsi="仿宋" w:eastAsia="仿宋" w:cs="仿宋"/>
          <w:iCs/>
          <w:sz w:val="24"/>
        </w:rPr>
      </w:pPr>
      <w:r>
        <w:rPr>
          <w:rFonts w:hint="eastAsia" w:ascii="仿宋" w:hAnsi="仿宋" w:eastAsia="仿宋" w:cs="仿宋"/>
          <w:iCs/>
          <w:sz w:val="24"/>
        </w:rPr>
        <w:t>（1）负责配合学校对三亚校区专家公寓楼、东盟合作教育综合楼、留学生公寓本体进行维护和管理；负责日常安全检查、维修及养护校园内建筑物和附属公共设施，包括室内外供水、排水、排污管道、道路、井盖、公共卫生间、化粪池、水泵房、污水处理站、车棚、停车场等。</w:t>
      </w:r>
    </w:p>
    <w:p w14:paraId="6EFB1AB6">
      <w:pPr>
        <w:spacing w:line="360" w:lineRule="auto"/>
        <w:ind w:firstLine="480" w:firstLineChars="200"/>
        <w:rPr>
          <w:rFonts w:ascii="仿宋" w:hAnsi="仿宋" w:eastAsia="仿宋" w:cs="仿宋"/>
          <w:iCs/>
          <w:sz w:val="24"/>
        </w:rPr>
      </w:pPr>
      <w:r>
        <w:rPr>
          <w:rFonts w:hint="eastAsia" w:ascii="仿宋" w:hAnsi="仿宋" w:eastAsia="仿宋" w:cs="仿宋"/>
          <w:iCs/>
          <w:sz w:val="24"/>
        </w:rPr>
        <w:t>（2）负责校园内供电、配电设施、设备、照明系统的日常维修、养护、管理，确保各种设施设备均处于良好和安全状态。</w:t>
      </w:r>
    </w:p>
    <w:p w14:paraId="649386EE">
      <w:pPr>
        <w:spacing w:line="360" w:lineRule="auto"/>
        <w:ind w:firstLine="480" w:firstLineChars="200"/>
        <w:rPr>
          <w:rFonts w:ascii="仿宋" w:hAnsi="仿宋" w:eastAsia="仿宋" w:cs="仿宋"/>
          <w:iCs/>
          <w:sz w:val="24"/>
        </w:rPr>
      </w:pPr>
      <w:r>
        <w:rPr>
          <w:rFonts w:hint="eastAsia" w:ascii="仿宋" w:hAnsi="仿宋" w:eastAsia="仿宋" w:cs="仿宋"/>
          <w:iCs/>
          <w:sz w:val="24"/>
        </w:rPr>
        <w:t>（3）负责做三亚校区专家公寓楼、东盟合作教育综合楼、留学生公寓等建筑内课桌椅、黑板、门窗、窗帘、锁具、灯具、开关、插座、水龙头、阀门、吊顶、下水管道疏通及楼内水管、电线等设施的日常维修。</w:t>
      </w:r>
    </w:p>
    <w:p w14:paraId="22F24927">
      <w:pPr>
        <w:spacing w:line="360" w:lineRule="auto"/>
        <w:ind w:firstLine="480" w:firstLineChars="200"/>
        <w:rPr>
          <w:rFonts w:ascii="仿宋" w:hAnsi="仿宋" w:eastAsia="仿宋" w:cs="仿宋"/>
          <w:iCs/>
          <w:sz w:val="24"/>
        </w:rPr>
      </w:pPr>
      <w:r>
        <w:rPr>
          <w:rFonts w:hint="eastAsia" w:ascii="仿宋" w:hAnsi="仿宋" w:eastAsia="仿宋" w:cs="仿宋"/>
          <w:iCs/>
          <w:sz w:val="24"/>
        </w:rPr>
        <w:t>（4）负责做好自备发电机组的日常管理、维护等工作，确保校园应急供电设施设备安全、正常运转。</w:t>
      </w:r>
    </w:p>
    <w:p w14:paraId="25D9B29C">
      <w:pPr>
        <w:spacing w:line="360" w:lineRule="auto"/>
        <w:ind w:firstLine="480" w:firstLineChars="200"/>
        <w:rPr>
          <w:rFonts w:ascii="仿宋" w:hAnsi="仿宋" w:eastAsia="仿宋" w:cs="仿宋"/>
          <w:iCs/>
          <w:sz w:val="24"/>
        </w:rPr>
      </w:pPr>
      <w:r>
        <w:rPr>
          <w:rFonts w:hint="eastAsia" w:ascii="仿宋" w:hAnsi="仿宋" w:eastAsia="仿宋" w:cs="仿宋"/>
          <w:iCs/>
          <w:sz w:val="24"/>
        </w:rPr>
        <w:t>（5）负责协调配合市政供水、供电单位对校内的相关设备进行检测、维护工作,专项检测、维保业务所需费用由学校支付。</w:t>
      </w:r>
    </w:p>
    <w:p w14:paraId="55CBE808">
      <w:pPr>
        <w:spacing w:line="360" w:lineRule="auto"/>
        <w:ind w:firstLine="480" w:firstLineChars="200"/>
        <w:rPr>
          <w:rFonts w:ascii="仿宋" w:hAnsi="仿宋" w:eastAsia="仿宋" w:cs="仿宋"/>
          <w:iCs/>
          <w:sz w:val="24"/>
        </w:rPr>
      </w:pPr>
      <w:r>
        <w:rPr>
          <w:rFonts w:hint="eastAsia" w:ascii="仿宋" w:hAnsi="仿宋" w:eastAsia="仿宋" w:cs="仿宋"/>
          <w:iCs/>
          <w:sz w:val="24"/>
        </w:rPr>
        <w:t>（6）负责于每月5日前对校内水电总表及各建筑物、经营实体水电分表进行抄表，并于每月10日前将水电使用明细表及水电费额报送学校及学校财务处；做好公寓学生、校区住户、租户用电查询、统计及水电费收缴工作；根据季节变化，做好学校建筑楼体内的节水节电工作，杜绝常明灯、常流水等现象。</w:t>
      </w:r>
    </w:p>
    <w:p w14:paraId="7FC826D0">
      <w:pPr>
        <w:spacing w:line="360" w:lineRule="auto"/>
        <w:ind w:firstLine="480" w:firstLineChars="200"/>
        <w:rPr>
          <w:rFonts w:ascii="仿宋" w:hAnsi="仿宋" w:eastAsia="仿宋" w:cs="仿宋"/>
          <w:iCs/>
          <w:sz w:val="24"/>
        </w:rPr>
      </w:pPr>
      <w:r>
        <w:rPr>
          <w:rFonts w:hint="eastAsia" w:ascii="仿宋" w:hAnsi="仿宋" w:eastAsia="仿宋" w:cs="仿宋"/>
          <w:iCs/>
          <w:sz w:val="24"/>
        </w:rPr>
        <w:t>（7）负责三亚校区专家公寓楼、东盟合作教育综合楼、留学生公寓电梯的日常巡查管理工作。物业公司要按规定配备有电梯管理使用资质的工程技术人员负责日常管理和定期维保工作（不得安排无相关资质人员上岗工作）；如发现安全隐患或突发故障，要按规范进行处置。</w:t>
      </w:r>
    </w:p>
    <w:p w14:paraId="45800244">
      <w:pPr>
        <w:spacing w:line="360" w:lineRule="auto"/>
        <w:ind w:firstLine="480" w:firstLineChars="200"/>
        <w:rPr>
          <w:rFonts w:ascii="仿宋" w:hAnsi="仿宋" w:eastAsia="仿宋" w:cs="仿宋"/>
          <w:iCs/>
          <w:sz w:val="24"/>
        </w:rPr>
      </w:pPr>
      <w:r>
        <w:rPr>
          <w:rFonts w:hint="eastAsia" w:ascii="仿宋" w:hAnsi="仿宋" w:eastAsia="仿宋" w:cs="仿宋"/>
          <w:iCs/>
          <w:sz w:val="24"/>
        </w:rPr>
        <w:t>（8）负责做好三亚校区专家公寓楼、东盟合作教育综合楼、留学生公寓内各类设备、设施日常检查维护台账建设工作。每月应将各种设备、设施检查、隐患整改等资料上报学校备案。</w:t>
      </w:r>
    </w:p>
    <w:p w14:paraId="7904D8D1">
      <w:pPr>
        <w:spacing w:line="360" w:lineRule="auto"/>
        <w:ind w:firstLine="480" w:firstLineChars="200"/>
        <w:rPr>
          <w:rFonts w:ascii="仿宋" w:hAnsi="仿宋" w:eastAsia="仿宋" w:cs="仿宋"/>
          <w:iCs/>
          <w:sz w:val="24"/>
        </w:rPr>
      </w:pPr>
      <w:r>
        <w:rPr>
          <w:rFonts w:hint="eastAsia" w:ascii="仿宋" w:hAnsi="仿宋" w:eastAsia="仿宋" w:cs="仿宋"/>
          <w:iCs/>
          <w:sz w:val="24"/>
        </w:rPr>
        <w:t>（9）根据维修材料的库存及日常维修情况，提前向学校提交采购计划。</w:t>
      </w:r>
    </w:p>
    <w:p w14:paraId="30740B32">
      <w:pPr>
        <w:spacing w:line="360" w:lineRule="auto"/>
        <w:ind w:firstLine="480" w:firstLineChars="200"/>
        <w:rPr>
          <w:rFonts w:ascii="仿宋" w:hAnsi="仿宋" w:eastAsia="仿宋" w:cs="仿宋"/>
          <w:iCs/>
          <w:sz w:val="24"/>
        </w:rPr>
      </w:pPr>
      <w:r>
        <w:rPr>
          <w:rFonts w:hint="eastAsia" w:ascii="仿宋" w:hAnsi="仿宋" w:eastAsia="仿宋" w:cs="仿宋"/>
          <w:iCs/>
          <w:sz w:val="24"/>
        </w:rPr>
        <w:t>（1</w:t>
      </w:r>
      <w:r>
        <w:rPr>
          <w:rFonts w:ascii="仿宋" w:hAnsi="仿宋" w:eastAsia="仿宋" w:cs="仿宋"/>
          <w:iCs/>
          <w:sz w:val="24"/>
        </w:rPr>
        <w:t>0</w:t>
      </w:r>
      <w:r>
        <w:rPr>
          <w:rFonts w:hint="eastAsia" w:ascii="仿宋" w:hAnsi="仿宋" w:eastAsia="仿宋" w:cs="仿宋"/>
          <w:iCs/>
          <w:sz w:val="24"/>
        </w:rPr>
        <w:t>）完成采购方要求的临时工程维修工作。</w:t>
      </w:r>
    </w:p>
    <w:p w14:paraId="6B81A72D">
      <w:pPr>
        <w:spacing w:line="360" w:lineRule="auto"/>
        <w:ind w:firstLine="480" w:firstLineChars="200"/>
        <w:rPr>
          <w:rFonts w:ascii="仿宋" w:hAnsi="仿宋" w:eastAsia="仿宋" w:cs="仿宋"/>
          <w:iCs/>
          <w:sz w:val="24"/>
        </w:rPr>
      </w:pPr>
      <w:r>
        <w:rPr>
          <w:rFonts w:ascii="仿宋" w:hAnsi="仿宋" w:eastAsia="仿宋" w:cs="仿宋"/>
          <w:iCs/>
          <w:sz w:val="24"/>
        </w:rPr>
        <w:t>2.</w:t>
      </w:r>
      <w:r>
        <w:rPr>
          <w:rFonts w:hint="eastAsia" w:ascii="仿宋" w:hAnsi="仿宋" w:eastAsia="仿宋" w:cs="仿宋"/>
          <w:iCs/>
          <w:sz w:val="24"/>
        </w:rPr>
        <w:t>2服务要求</w:t>
      </w:r>
    </w:p>
    <w:p w14:paraId="0013D72D">
      <w:pPr>
        <w:spacing w:line="360" w:lineRule="auto"/>
        <w:ind w:firstLine="480" w:firstLineChars="200"/>
        <w:rPr>
          <w:rFonts w:ascii="仿宋" w:hAnsi="仿宋" w:eastAsia="仿宋" w:cs="仿宋"/>
          <w:iCs/>
          <w:sz w:val="24"/>
        </w:rPr>
      </w:pPr>
      <w:r>
        <w:rPr>
          <w:rFonts w:hint="eastAsia" w:ascii="仿宋" w:hAnsi="仿宋" w:eastAsia="仿宋" w:cs="仿宋"/>
          <w:iCs/>
          <w:sz w:val="24"/>
        </w:rPr>
        <w:t>（1）供水、供配电系统设备，消防水池、热水系统、太阳能设备、饮用水设备、电梯等每日安排巡检，灵活采用观、闻、听、摸、测等方法，检查设备运行状况。</w:t>
      </w:r>
    </w:p>
    <w:p w14:paraId="0CB86DD8">
      <w:pPr>
        <w:spacing w:line="360" w:lineRule="auto"/>
        <w:ind w:firstLine="480" w:firstLineChars="200"/>
        <w:rPr>
          <w:rFonts w:ascii="仿宋" w:hAnsi="仿宋" w:eastAsia="仿宋" w:cs="仿宋"/>
          <w:iCs/>
          <w:sz w:val="24"/>
        </w:rPr>
      </w:pPr>
      <w:r>
        <w:rPr>
          <w:rFonts w:hint="eastAsia" w:ascii="仿宋" w:hAnsi="仿宋" w:eastAsia="仿宋" w:cs="仿宋"/>
          <w:iCs/>
          <w:sz w:val="24"/>
        </w:rPr>
        <w:t>（2）建立24小时运行维修值班制度，无脱岗现象，运行数据记录完整、真实，按时对分配电房巡查，恶劣天气、夏季高峰负荷时加强供电设施巡视。</w:t>
      </w:r>
    </w:p>
    <w:p w14:paraId="015892A0">
      <w:pPr>
        <w:spacing w:line="360" w:lineRule="auto"/>
        <w:ind w:firstLine="480" w:firstLineChars="200"/>
        <w:rPr>
          <w:rFonts w:ascii="仿宋" w:hAnsi="仿宋" w:eastAsia="仿宋" w:cs="仿宋"/>
          <w:iCs/>
          <w:sz w:val="24"/>
        </w:rPr>
      </w:pPr>
      <w:r>
        <w:rPr>
          <w:rFonts w:hint="eastAsia" w:ascii="仿宋" w:hAnsi="仿宋" w:eastAsia="仿宋" w:cs="仿宋"/>
          <w:iCs/>
          <w:sz w:val="24"/>
        </w:rPr>
        <w:t>（3）接到维修单（或电话通知）后，半小时内必须作出回应；遇紧急情况须立即派人赶到现场进行紧急处理，并按校方要求的时间修复。具体要求如下：</w:t>
      </w:r>
    </w:p>
    <w:p w14:paraId="17782DD8">
      <w:pPr>
        <w:spacing w:line="360" w:lineRule="auto"/>
        <w:ind w:firstLine="480" w:firstLineChars="200"/>
        <w:rPr>
          <w:rFonts w:ascii="仿宋" w:hAnsi="仿宋" w:eastAsia="仿宋" w:cs="仿宋"/>
          <w:iCs/>
          <w:sz w:val="24"/>
        </w:rPr>
      </w:pPr>
      <w:r>
        <w:rPr>
          <w:rFonts w:hint="eastAsia" w:ascii="仿宋" w:hAnsi="仿宋" w:eastAsia="仿宋" w:cs="仿宋"/>
          <w:iCs/>
          <w:sz w:val="24"/>
        </w:rPr>
        <w:t>抢修类：如电路故障、水管、水擎、水龙头爆裂漏水，要求立即抢修；</w:t>
      </w:r>
    </w:p>
    <w:p w14:paraId="6398A775">
      <w:pPr>
        <w:spacing w:line="360" w:lineRule="auto"/>
        <w:ind w:firstLine="480" w:firstLineChars="200"/>
        <w:rPr>
          <w:rFonts w:ascii="仿宋" w:hAnsi="仿宋" w:eastAsia="仿宋" w:cs="仿宋"/>
          <w:iCs/>
          <w:sz w:val="24"/>
        </w:rPr>
      </w:pPr>
      <w:r>
        <w:rPr>
          <w:rFonts w:hint="eastAsia" w:ascii="仿宋" w:hAnsi="仿宋" w:eastAsia="仿宋" w:cs="仿宋"/>
          <w:iCs/>
          <w:sz w:val="24"/>
        </w:rPr>
        <w:t>小修类：如水龙头、门锁、电风扇、电灯、排污管等损坏，要求24小时内维修好；</w:t>
      </w:r>
    </w:p>
    <w:p w14:paraId="479C733D">
      <w:pPr>
        <w:spacing w:line="360" w:lineRule="auto"/>
        <w:ind w:firstLine="480" w:firstLineChars="200"/>
        <w:rPr>
          <w:rFonts w:ascii="仿宋" w:hAnsi="仿宋" w:eastAsia="仿宋" w:cs="仿宋"/>
          <w:iCs/>
          <w:sz w:val="24"/>
        </w:rPr>
      </w:pPr>
      <w:r>
        <w:rPr>
          <w:rFonts w:hint="eastAsia" w:ascii="仿宋" w:hAnsi="仿宋" w:eastAsia="仿宋" w:cs="仿宋"/>
          <w:iCs/>
          <w:sz w:val="24"/>
        </w:rPr>
        <w:t>中修类：门窗、公用设施等维修项目，要求48小时内维修好；</w:t>
      </w:r>
    </w:p>
    <w:p w14:paraId="28FD7598">
      <w:pPr>
        <w:spacing w:line="360" w:lineRule="auto"/>
        <w:ind w:firstLine="480" w:firstLineChars="200"/>
        <w:rPr>
          <w:rFonts w:ascii="仿宋" w:hAnsi="仿宋" w:eastAsia="仿宋" w:cs="仿宋"/>
          <w:iCs/>
          <w:sz w:val="24"/>
        </w:rPr>
      </w:pPr>
      <w:r>
        <w:rPr>
          <w:rFonts w:hint="eastAsia" w:ascii="仿宋" w:hAnsi="仿宋" w:eastAsia="仿宋" w:cs="仿宋"/>
          <w:iCs/>
          <w:sz w:val="24"/>
        </w:rPr>
        <w:t>遇水管爆裂、变压器跳闸、主供电线路故障等大中型突发故障须按照规程采取应急处置措施，并及时通报和积极配合采购人处置，尽快恢复正常秩序。</w:t>
      </w:r>
    </w:p>
    <w:p w14:paraId="45462F53">
      <w:pPr>
        <w:spacing w:line="360" w:lineRule="auto"/>
        <w:ind w:firstLine="480" w:firstLineChars="200"/>
        <w:rPr>
          <w:rFonts w:ascii="仿宋" w:hAnsi="仿宋" w:eastAsia="仿宋" w:cs="仿宋"/>
          <w:iCs/>
          <w:sz w:val="24"/>
        </w:rPr>
      </w:pPr>
      <w:r>
        <w:rPr>
          <w:rFonts w:hint="eastAsia" w:ascii="仿宋" w:hAnsi="仿宋" w:eastAsia="仿宋" w:cs="仿宋"/>
          <w:iCs/>
          <w:sz w:val="24"/>
        </w:rPr>
        <w:t>（4）及时维护、油刷甲方走廊栏杆、消防水管、铁线盒、配电箱等设备，避免设备生锈；大雨期间，须及时对学校地下停车场进行抽水，避免地下停车场被淹。</w:t>
      </w:r>
    </w:p>
    <w:p w14:paraId="7044E070">
      <w:pPr>
        <w:spacing w:line="360" w:lineRule="auto"/>
        <w:ind w:firstLine="480" w:firstLineChars="200"/>
        <w:rPr>
          <w:rFonts w:ascii="仿宋" w:hAnsi="仿宋" w:eastAsia="仿宋" w:cs="仿宋"/>
          <w:iCs/>
          <w:sz w:val="24"/>
        </w:rPr>
      </w:pPr>
      <w:r>
        <w:rPr>
          <w:rFonts w:hint="eastAsia" w:ascii="仿宋" w:hAnsi="仿宋" w:eastAsia="仿宋" w:cs="仿宋"/>
          <w:iCs/>
          <w:sz w:val="24"/>
        </w:rPr>
        <w:t>（5）物业公司自行配置开展管理服务工作所需的维修设备、工具、电工用具 (包括手锤、试电笔、尖嘴钳，梯子、电焊机、手枪钻、万用表、疏通机等)及相关设备。</w:t>
      </w:r>
    </w:p>
    <w:p w14:paraId="368F574B">
      <w:pPr>
        <w:spacing w:line="360" w:lineRule="auto"/>
        <w:ind w:firstLine="480" w:firstLineChars="200"/>
        <w:rPr>
          <w:rFonts w:ascii="仿宋" w:hAnsi="仿宋" w:eastAsia="仿宋" w:cs="仿宋"/>
          <w:iCs/>
          <w:sz w:val="24"/>
        </w:rPr>
      </w:pPr>
      <w:r>
        <w:rPr>
          <w:rFonts w:hint="eastAsia" w:ascii="仿宋" w:hAnsi="仿宋" w:eastAsia="仿宋" w:cs="仿宋"/>
          <w:iCs/>
          <w:sz w:val="24"/>
        </w:rPr>
        <w:t>（6）物业公司领用维修材料，须按照学校仓库管理要求，及时完成维修材料使用去向明细台账。做到维修材料的领用、使用及库存盘点数据清晰。物业公司有条件的，可适当使用仓储设备及软件管理维修等材料。</w:t>
      </w:r>
    </w:p>
    <w:p w14:paraId="526B408C">
      <w:pPr>
        <w:spacing w:line="360" w:lineRule="auto"/>
        <w:ind w:firstLine="480" w:firstLineChars="200"/>
        <w:rPr>
          <w:rFonts w:ascii="仿宋" w:hAnsi="仿宋" w:eastAsia="仿宋" w:cs="仿宋"/>
          <w:iCs/>
          <w:sz w:val="24"/>
        </w:rPr>
      </w:pPr>
      <w:r>
        <w:rPr>
          <w:rFonts w:hint="eastAsia" w:ascii="仿宋" w:hAnsi="仿宋" w:eastAsia="仿宋" w:cs="仿宋"/>
          <w:iCs/>
          <w:sz w:val="24"/>
        </w:rPr>
        <w:t>（7）物业公司有条件的，可考虑投入数据采集、分析、应用等方面的人力及软件等资源，以便开展维修服务等工作的数据收集、分析，提高完好率，提高服务质量。</w:t>
      </w:r>
    </w:p>
    <w:p w14:paraId="217B0676">
      <w:pPr>
        <w:spacing w:line="360" w:lineRule="auto"/>
        <w:ind w:firstLine="480" w:firstLineChars="200"/>
        <w:rPr>
          <w:rFonts w:ascii="仿宋" w:hAnsi="仿宋" w:eastAsia="仿宋" w:cs="仿宋"/>
          <w:iCs/>
          <w:sz w:val="24"/>
        </w:rPr>
      </w:pPr>
      <w:bookmarkStart w:id="0" w:name="_GoBack"/>
      <w:bookmarkEnd w:id="0"/>
      <w:r>
        <w:rPr>
          <w:rFonts w:ascii="仿宋" w:hAnsi="仿宋" w:eastAsia="仿宋" w:cs="仿宋"/>
          <w:iCs/>
          <w:sz w:val="24"/>
        </w:rPr>
        <w:t>2.</w:t>
      </w:r>
      <w:r>
        <w:rPr>
          <w:rFonts w:hint="eastAsia" w:ascii="仿宋" w:hAnsi="仿宋" w:eastAsia="仿宋" w:cs="仿宋"/>
          <w:iCs/>
          <w:sz w:val="24"/>
        </w:rPr>
        <w:t>2</w:t>
      </w:r>
      <w:r>
        <w:rPr>
          <w:rFonts w:ascii="仿宋" w:hAnsi="仿宋" w:eastAsia="仿宋" w:cs="仿宋"/>
          <w:iCs/>
          <w:sz w:val="24"/>
        </w:rPr>
        <w:t>.1房屋维护服务</w:t>
      </w:r>
      <w:r>
        <w:rPr>
          <w:rFonts w:hint="eastAsia" w:ascii="仿宋" w:hAnsi="仿宋" w:eastAsia="仿宋" w:cs="仿宋"/>
          <w:iCs/>
          <w:sz w:val="24"/>
        </w:rPr>
        <w:t>标准</w:t>
      </w:r>
    </w:p>
    <w:tbl>
      <w:tblPr>
        <w:tblStyle w:val="4"/>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977"/>
        <w:gridCol w:w="5737"/>
      </w:tblGrid>
      <w:tr w14:paraId="3188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shd w:val="clear" w:color="auto" w:fill="auto"/>
            <w:noWrap w:val="0"/>
            <w:vAlign w:val="center"/>
          </w:tcPr>
          <w:p w14:paraId="34C4AE1A">
            <w:pPr>
              <w:widowControl/>
              <w:snapToGrid w:val="0"/>
              <w:spacing w:line="300" w:lineRule="auto"/>
              <w:jc w:val="center"/>
              <w:rPr>
                <w:rFonts w:ascii="Calibri" w:hAnsi="Calibri" w:cs="Calibri"/>
                <w:bCs/>
                <w:sz w:val="28"/>
                <w:szCs w:val="28"/>
              </w:rPr>
            </w:pPr>
            <w:r>
              <w:rPr>
                <w:rFonts w:hint="eastAsia" w:cs="Calibri"/>
                <w:bCs/>
                <w:sz w:val="28"/>
                <w:szCs w:val="28"/>
              </w:rPr>
              <w:t>序号</w:t>
            </w:r>
          </w:p>
        </w:tc>
        <w:tc>
          <w:tcPr>
            <w:tcW w:w="1925" w:type="dxa"/>
            <w:shd w:val="clear" w:color="auto" w:fill="auto"/>
            <w:noWrap w:val="0"/>
            <w:vAlign w:val="center"/>
          </w:tcPr>
          <w:p w14:paraId="3C53B1B8">
            <w:pPr>
              <w:widowControl/>
              <w:snapToGrid w:val="0"/>
              <w:spacing w:line="300" w:lineRule="auto"/>
              <w:jc w:val="center"/>
              <w:rPr>
                <w:rFonts w:ascii="Calibri" w:hAnsi="Calibri" w:cs="Calibri"/>
                <w:bCs/>
                <w:sz w:val="28"/>
                <w:szCs w:val="28"/>
              </w:rPr>
            </w:pPr>
            <w:r>
              <w:rPr>
                <w:rFonts w:ascii="Calibri" w:hAnsi="Calibri" w:cs="Calibri"/>
                <w:bCs/>
                <w:sz w:val="28"/>
                <w:szCs w:val="28"/>
              </w:rPr>
              <w:t>服务内容</w:t>
            </w:r>
          </w:p>
        </w:tc>
        <w:tc>
          <w:tcPr>
            <w:tcW w:w="5585" w:type="dxa"/>
            <w:shd w:val="clear" w:color="auto" w:fill="auto"/>
            <w:noWrap w:val="0"/>
            <w:vAlign w:val="center"/>
          </w:tcPr>
          <w:p w14:paraId="44B283FF">
            <w:pPr>
              <w:widowControl/>
              <w:snapToGrid w:val="0"/>
              <w:spacing w:line="300" w:lineRule="auto"/>
              <w:jc w:val="center"/>
              <w:rPr>
                <w:rFonts w:ascii="Calibri" w:hAnsi="Calibri" w:cs="Calibri"/>
                <w:bCs/>
                <w:sz w:val="28"/>
                <w:szCs w:val="28"/>
              </w:rPr>
            </w:pPr>
            <w:r>
              <w:rPr>
                <w:rFonts w:hint="eastAsia" w:cs="Calibri"/>
                <w:bCs/>
                <w:sz w:val="28"/>
                <w:szCs w:val="28"/>
              </w:rPr>
              <w:t>服务标准</w:t>
            </w:r>
          </w:p>
        </w:tc>
      </w:tr>
      <w:tr w14:paraId="7CE5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restart"/>
            <w:shd w:val="clear" w:color="auto" w:fill="auto"/>
            <w:noWrap w:val="0"/>
            <w:vAlign w:val="center"/>
          </w:tcPr>
          <w:p w14:paraId="404375A1">
            <w:pPr>
              <w:widowControl/>
              <w:snapToGrid w:val="0"/>
              <w:spacing w:line="300" w:lineRule="auto"/>
              <w:jc w:val="center"/>
              <w:rPr>
                <w:rFonts w:ascii="仿宋" w:hAnsi="仿宋" w:eastAsia="仿宋"/>
                <w:sz w:val="24"/>
              </w:rPr>
            </w:pPr>
            <w:r>
              <w:rPr>
                <w:rFonts w:hint="eastAsia" w:ascii="仿宋" w:hAnsi="仿宋" w:eastAsia="仿宋"/>
                <w:sz w:val="24"/>
              </w:rPr>
              <w:t>1</w:t>
            </w:r>
          </w:p>
        </w:tc>
        <w:tc>
          <w:tcPr>
            <w:tcW w:w="1925" w:type="dxa"/>
            <w:vMerge w:val="restart"/>
            <w:shd w:val="clear" w:color="auto" w:fill="auto"/>
            <w:noWrap w:val="0"/>
            <w:vAlign w:val="center"/>
          </w:tcPr>
          <w:p w14:paraId="4466AE6E">
            <w:pPr>
              <w:widowControl/>
              <w:snapToGrid w:val="0"/>
              <w:spacing w:line="300" w:lineRule="auto"/>
              <w:rPr>
                <w:rFonts w:ascii="仿宋" w:hAnsi="仿宋" w:eastAsia="仿宋"/>
                <w:sz w:val="24"/>
              </w:rPr>
            </w:pPr>
            <w:r>
              <w:rPr>
                <w:rFonts w:hint="eastAsia" w:ascii="仿宋" w:hAnsi="仿宋" w:eastAsia="仿宋"/>
                <w:sz w:val="24"/>
              </w:rPr>
              <w:t>主体结构、围护结构、部品部件</w:t>
            </w:r>
          </w:p>
        </w:tc>
        <w:tc>
          <w:tcPr>
            <w:tcW w:w="5585" w:type="dxa"/>
            <w:shd w:val="clear" w:color="auto" w:fill="auto"/>
            <w:noWrap w:val="0"/>
            <w:vAlign w:val="center"/>
          </w:tcPr>
          <w:p w14:paraId="32C6C3EE">
            <w:pPr>
              <w:widowControl/>
              <w:snapToGrid w:val="0"/>
              <w:spacing w:line="300" w:lineRule="auto"/>
              <w:jc w:val="left"/>
              <w:rPr>
                <w:rFonts w:ascii="仿宋" w:hAnsi="仿宋" w:eastAsia="仿宋" w:cs="Calibri"/>
                <w:sz w:val="24"/>
              </w:rPr>
            </w:pPr>
            <w:r>
              <w:rPr>
                <w:rFonts w:hint="eastAsia" w:ascii="仿宋" w:hAnsi="仿宋" w:eastAsia="仿宋" w:cs="Calibri"/>
                <w:sz w:val="24"/>
              </w:rPr>
              <w:t>（1）</w:t>
            </w:r>
            <w:r>
              <w:rPr>
                <w:rFonts w:ascii="仿宋" w:hAnsi="仿宋" w:eastAsia="仿宋" w:cs="Calibri"/>
                <w:sz w:val="24"/>
              </w:rPr>
              <w:t>每</w:t>
            </w:r>
            <w:r>
              <w:rPr>
                <w:rFonts w:hint="eastAsia" w:ascii="仿宋" w:hAnsi="仿宋" w:eastAsia="仿宋" w:cs="Calibri"/>
                <w:sz w:val="24"/>
              </w:rPr>
              <w:t>月</w:t>
            </w:r>
            <w:r>
              <w:rPr>
                <w:rFonts w:ascii="仿宋" w:hAnsi="仿宋" w:eastAsia="仿宋" w:cs="Calibri"/>
                <w:sz w:val="24"/>
              </w:rPr>
              <w:t>至少</w:t>
            </w:r>
            <w:r>
              <w:rPr>
                <w:rFonts w:hint="eastAsia" w:ascii="仿宋" w:hAnsi="仿宋" w:eastAsia="仿宋" w:cs="Calibri"/>
                <w:sz w:val="24"/>
              </w:rPr>
              <w:t>开展</w:t>
            </w:r>
            <w:r>
              <w:rPr>
                <w:rFonts w:ascii="仿宋" w:hAnsi="仿宋" w:eastAsia="仿宋" w:cs="Calibri"/>
                <w:sz w:val="24"/>
              </w:rPr>
              <w:t>1次</w:t>
            </w:r>
            <w:r>
              <w:rPr>
                <w:rFonts w:hint="eastAsia" w:ascii="仿宋" w:hAnsi="仿宋" w:eastAsia="仿宋" w:cs="Calibri"/>
                <w:sz w:val="24"/>
              </w:rPr>
              <w:t>房屋结构安全</w:t>
            </w:r>
            <w:r>
              <w:rPr>
                <w:rFonts w:ascii="仿宋" w:hAnsi="仿宋" w:eastAsia="仿宋" w:cs="Calibri"/>
                <w:sz w:val="24"/>
              </w:rPr>
              <w:t>巡视</w:t>
            </w:r>
            <w:r>
              <w:rPr>
                <w:rFonts w:hint="eastAsia" w:ascii="仿宋" w:hAnsi="仿宋" w:eastAsia="仿宋" w:cs="Calibri"/>
                <w:sz w:val="24"/>
              </w:rPr>
              <w:t>，</w:t>
            </w:r>
            <w:r>
              <w:rPr>
                <w:rFonts w:ascii="仿宋" w:hAnsi="仿宋" w:eastAsia="仿宋" w:cs="Calibri"/>
                <w:sz w:val="24"/>
              </w:rPr>
              <w:t>发现外观有变形、开裂等现象</w:t>
            </w:r>
            <w:r>
              <w:rPr>
                <w:rFonts w:hint="eastAsia" w:ascii="仿宋" w:hAnsi="仿宋" w:eastAsia="仿宋" w:cs="Calibri"/>
                <w:sz w:val="24"/>
              </w:rPr>
              <w:t>，及时</w:t>
            </w:r>
            <w:r>
              <w:rPr>
                <w:rFonts w:ascii="仿宋" w:hAnsi="仿宋" w:eastAsia="仿宋" w:cs="Calibri"/>
                <w:sz w:val="24"/>
              </w:rPr>
              <w:t>建议</w:t>
            </w:r>
            <w:r>
              <w:rPr>
                <w:rFonts w:hint="eastAsia" w:ascii="仿宋" w:hAnsi="仿宋" w:eastAsia="仿宋" w:cs="Calibri"/>
                <w:sz w:val="24"/>
              </w:rPr>
              <w:t>采购人</w:t>
            </w:r>
            <w:r>
              <w:rPr>
                <w:rFonts w:ascii="仿宋" w:hAnsi="仿宋" w:eastAsia="仿宋" w:cs="Calibri"/>
                <w:sz w:val="24"/>
              </w:rPr>
              <w:t>申请房屋安全鉴定</w:t>
            </w:r>
            <w:r>
              <w:rPr>
                <w:rFonts w:hint="eastAsia" w:ascii="仿宋" w:hAnsi="仿宋" w:eastAsia="仿宋" w:cs="Calibri"/>
                <w:sz w:val="24"/>
              </w:rPr>
              <w:t>，</w:t>
            </w:r>
            <w:r>
              <w:rPr>
                <w:rFonts w:ascii="仿宋" w:hAnsi="仿宋" w:eastAsia="仿宋" w:cs="Calibri"/>
                <w:sz w:val="24"/>
              </w:rPr>
              <w:t>并采取必要的避险和防护措施</w:t>
            </w:r>
            <w:r>
              <w:rPr>
                <w:rFonts w:hint="eastAsia" w:ascii="仿宋" w:hAnsi="仿宋" w:eastAsia="仿宋" w:cs="Calibri"/>
                <w:sz w:val="24"/>
              </w:rPr>
              <w:t>。</w:t>
            </w:r>
          </w:p>
        </w:tc>
      </w:tr>
      <w:tr w14:paraId="7613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74074B80">
            <w:pPr>
              <w:widowControl/>
              <w:snapToGrid w:val="0"/>
              <w:spacing w:line="300" w:lineRule="auto"/>
              <w:jc w:val="center"/>
              <w:rPr>
                <w:rFonts w:ascii="仿宋" w:hAnsi="仿宋" w:eastAsia="仿宋"/>
                <w:sz w:val="24"/>
              </w:rPr>
            </w:pPr>
          </w:p>
        </w:tc>
        <w:tc>
          <w:tcPr>
            <w:tcW w:w="1925" w:type="dxa"/>
            <w:vMerge w:val="continue"/>
            <w:shd w:val="clear" w:color="auto" w:fill="auto"/>
            <w:noWrap w:val="0"/>
            <w:vAlign w:val="center"/>
          </w:tcPr>
          <w:p w14:paraId="1586706C">
            <w:pPr>
              <w:widowControl/>
              <w:snapToGrid w:val="0"/>
              <w:spacing w:line="300" w:lineRule="auto"/>
              <w:rPr>
                <w:rFonts w:ascii="仿宋" w:hAnsi="仿宋" w:eastAsia="仿宋"/>
                <w:sz w:val="24"/>
              </w:rPr>
            </w:pPr>
          </w:p>
        </w:tc>
        <w:tc>
          <w:tcPr>
            <w:tcW w:w="5585" w:type="dxa"/>
            <w:shd w:val="clear" w:color="auto" w:fill="auto"/>
            <w:noWrap w:val="0"/>
            <w:vAlign w:val="center"/>
          </w:tcPr>
          <w:p w14:paraId="5E2C10E5">
            <w:pPr>
              <w:widowControl/>
              <w:snapToGrid w:val="0"/>
              <w:spacing w:line="300" w:lineRule="auto"/>
              <w:jc w:val="left"/>
              <w:rPr>
                <w:rFonts w:ascii="仿宋" w:hAnsi="仿宋" w:eastAsia="仿宋" w:cs="Calibri"/>
                <w:sz w:val="24"/>
              </w:rPr>
            </w:pPr>
            <w:r>
              <w:rPr>
                <w:rFonts w:hint="eastAsia" w:ascii="仿宋" w:hAnsi="仿宋" w:eastAsia="仿宋" w:cs="Calibri"/>
                <w:sz w:val="24"/>
              </w:rPr>
              <w:t>（2）每月至少开展1</w:t>
            </w:r>
            <w:r>
              <w:rPr>
                <w:rFonts w:ascii="仿宋" w:hAnsi="仿宋" w:eastAsia="仿宋" w:cs="Calibri"/>
                <w:sz w:val="24"/>
              </w:rPr>
              <w:t>次外墙贴饰面、幕墙玻璃、雨篷、散水、空调室外机支撑构件等</w:t>
            </w:r>
            <w:r>
              <w:rPr>
                <w:rFonts w:hint="eastAsia" w:ascii="仿宋" w:hAnsi="仿宋" w:eastAsia="仿宋" w:cs="Calibri"/>
                <w:sz w:val="24"/>
              </w:rPr>
              <w:t>检查，发现破损，及时向采购人报告，按采购人要求出具维修方案，待采购人同意后按维修方案实施维修。</w:t>
            </w:r>
          </w:p>
        </w:tc>
      </w:tr>
      <w:tr w14:paraId="2214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47C27F53">
            <w:pPr>
              <w:widowControl/>
              <w:snapToGrid w:val="0"/>
              <w:spacing w:line="300" w:lineRule="auto"/>
              <w:jc w:val="center"/>
              <w:rPr>
                <w:rFonts w:ascii="仿宋" w:hAnsi="仿宋" w:eastAsia="仿宋"/>
                <w:sz w:val="24"/>
              </w:rPr>
            </w:pPr>
          </w:p>
        </w:tc>
        <w:tc>
          <w:tcPr>
            <w:tcW w:w="1925" w:type="dxa"/>
            <w:vMerge w:val="continue"/>
            <w:shd w:val="clear" w:color="auto" w:fill="auto"/>
            <w:noWrap w:val="0"/>
            <w:vAlign w:val="center"/>
          </w:tcPr>
          <w:p w14:paraId="72CB0BAD">
            <w:pPr>
              <w:widowControl/>
              <w:snapToGrid w:val="0"/>
              <w:spacing w:line="300" w:lineRule="auto"/>
              <w:rPr>
                <w:rFonts w:ascii="仿宋" w:hAnsi="仿宋" w:eastAsia="仿宋"/>
                <w:sz w:val="24"/>
              </w:rPr>
            </w:pPr>
          </w:p>
        </w:tc>
        <w:tc>
          <w:tcPr>
            <w:tcW w:w="5585" w:type="dxa"/>
            <w:shd w:val="clear" w:color="auto" w:fill="auto"/>
            <w:noWrap w:val="0"/>
            <w:vAlign w:val="center"/>
          </w:tcPr>
          <w:p w14:paraId="546359F6">
            <w:pPr>
              <w:widowControl/>
              <w:snapToGrid w:val="0"/>
              <w:spacing w:line="300" w:lineRule="auto"/>
              <w:jc w:val="left"/>
              <w:rPr>
                <w:rFonts w:ascii="仿宋" w:hAnsi="仿宋" w:eastAsia="仿宋" w:cs="Calibri"/>
                <w:sz w:val="24"/>
              </w:rPr>
            </w:pPr>
            <w:r>
              <w:rPr>
                <w:rFonts w:hint="eastAsia" w:ascii="仿宋" w:hAnsi="仿宋" w:eastAsia="仿宋" w:cs="Calibri"/>
                <w:sz w:val="24"/>
              </w:rPr>
              <w:t>（3）</w:t>
            </w:r>
            <w:r>
              <w:rPr>
                <w:rFonts w:ascii="仿宋" w:hAnsi="仿宋" w:eastAsia="仿宋" w:cs="Calibri"/>
                <w:sz w:val="24"/>
              </w:rPr>
              <w:t>每半月至少</w:t>
            </w:r>
            <w:r>
              <w:rPr>
                <w:rFonts w:hint="eastAsia" w:ascii="仿宋" w:hAnsi="仿宋" w:eastAsia="仿宋" w:cs="Calibri"/>
                <w:sz w:val="24"/>
              </w:rPr>
              <w:t>开展</w:t>
            </w:r>
            <w:r>
              <w:rPr>
                <w:rFonts w:ascii="仿宋" w:hAnsi="仿宋" w:eastAsia="仿宋" w:cs="Calibri"/>
                <w:sz w:val="24"/>
              </w:rPr>
              <w:t>1次公用部位的门、窗、楼梯、通风道</w:t>
            </w:r>
            <w:r>
              <w:rPr>
                <w:rFonts w:hint="eastAsia" w:ascii="仿宋" w:hAnsi="仿宋" w:eastAsia="仿宋" w:cs="Calibri"/>
                <w:sz w:val="24"/>
              </w:rPr>
              <w:t>、</w:t>
            </w:r>
            <w:r>
              <w:rPr>
                <w:rFonts w:ascii="仿宋" w:hAnsi="仿宋" w:eastAsia="仿宋" w:cs="Calibri"/>
                <w:sz w:val="24"/>
              </w:rPr>
              <w:t>室内地面、墙面、吊顶和室外屋面等巡查</w:t>
            </w:r>
            <w:r>
              <w:rPr>
                <w:rFonts w:hint="eastAsia" w:ascii="仿宋" w:hAnsi="仿宋" w:eastAsia="仿宋" w:cs="Calibri"/>
                <w:sz w:val="24"/>
              </w:rPr>
              <w:t>，发现破损，及时向采购人报告，按采购人要求出具维修方案，待采购人同意后按维修方案实施维修。</w:t>
            </w:r>
          </w:p>
        </w:tc>
      </w:tr>
      <w:tr w14:paraId="05AE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2D4BE607">
            <w:pPr>
              <w:widowControl/>
              <w:snapToGrid w:val="0"/>
              <w:spacing w:line="300" w:lineRule="auto"/>
              <w:jc w:val="center"/>
              <w:rPr>
                <w:rFonts w:ascii="仿宋" w:hAnsi="仿宋" w:eastAsia="仿宋"/>
                <w:sz w:val="24"/>
              </w:rPr>
            </w:pPr>
          </w:p>
        </w:tc>
        <w:tc>
          <w:tcPr>
            <w:tcW w:w="1925" w:type="dxa"/>
            <w:vMerge w:val="continue"/>
            <w:shd w:val="clear" w:color="auto" w:fill="auto"/>
            <w:noWrap w:val="0"/>
            <w:vAlign w:val="center"/>
          </w:tcPr>
          <w:p w14:paraId="1ADE79B6">
            <w:pPr>
              <w:widowControl/>
              <w:snapToGrid w:val="0"/>
              <w:spacing w:line="300" w:lineRule="auto"/>
              <w:rPr>
                <w:rFonts w:ascii="仿宋" w:hAnsi="仿宋" w:eastAsia="仿宋"/>
                <w:sz w:val="24"/>
              </w:rPr>
            </w:pPr>
          </w:p>
        </w:tc>
        <w:tc>
          <w:tcPr>
            <w:tcW w:w="5585" w:type="dxa"/>
            <w:shd w:val="clear" w:color="auto" w:fill="auto"/>
            <w:noWrap w:val="0"/>
            <w:vAlign w:val="center"/>
          </w:tcPr>
          <w:p w14:paraId="147AA127">
            <w:pPr>
              <w:widowControl/>
              <w:snapToGrid w:val="0"/>
              <w:spacing w:line="300" w:lineRule="auto"/>
              <w:jc w:val="left"/>
              <w:rPr>
                <w:rFonts w:ascii="仿宋" w:hAnsi="仿宋" w:eastAsia="仿宋" w:cs="Calibri"/>
                <w:sz w:val="24"/>
              </w:rPr>
            </w:pPr>
            <w:r>
              <w:rPr>
                <w:rFonts w:hint="eastAsia" w:ascii="仿宋" w:hAnsi="仿宋" w:eastAsia="仿宋" w:cs="Calibri"/>
                <w:sz w:val="24"/>
              </w:rPr>
              <w:t>（4）</w:t>
            </w:r>
            <w:r>
              <w:rPr>
                <w:rFonts w:ascii="仿宋" w:hAnsi="仿宋" w:eastAsia="仿宋" w:cs="Calibri"/>
                <w:sz w:val="24"/>
              </w:rPr>
              <w:t>强降雨天气前后、</w:t>
            </w:r>
            <w:r>
              <w:rPr>
                <w:rFonts w:hint="eastAsia" w:ascii="仿宋" w:hAnsi="仿宋" w:eastAsia="仿宋" w:cs="Calibri"/>
                <w:sz w:val="24"/>
              </w:rPr>
              <w:t>台风</w:t>
            </w:r>
            <w:r>
              <w:rPr>
                <w:rFonts w:ascii="仿宋" w:hAnsi="仿宋" w:eastAsia="仿宋" w:cs="Calibri"/>
                <w:sz w:val="24"/>
              </w:rPr>
              <w:t>季节检查屋面防水和雨落管等</w:t>
            </w:r>
            <w:r>
              <w:rPr>
                <w:rFonts w:hint="eastAsia" w:ascii="仿宋" w:hAnsi="仿宋" w:eastAsia="仿宋" w:cs="Calibri"/>
                <w:sz w:val="24"/>
              </w:rPr>
              <w:t>，发现破损，及时向采购人报告，按采购人要求出具维修方案，待采购人同意后按维修方案实施维修。</w:t>
            </w:r>
          </w:p>
        </w:tc>
      </w:tr>
      <w:tr w14:paraId="556C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6A2BA3B1">
            <w:pPr>
              <w:widowControl/>
              <w:snapToGrid w:val="0"/>
              <w:spacing w:line="300" w:lineRule="auto"/>
              <w:jc w:val="center"/>
              <w:rPr>
                <w:rFonts w:ascii="仿宋" w:hAnsi="仿宋" w:eastAsia="仿宋"/>
                <w:sz w:val="24"/>
              </w:rPr>
            </w:pPr>
          </w:p>
        </w:tc>
        <w:tc>
          <w:tcPr>
            <w:tcW w:w="1925" w:type="dxa"/>
            <w:vMerge w:val="continue"/>
            <w:shd w:val="clear" w:color="auto" w:fill="auto"/>
            <w:noWrap w:val="0"/>
            <w:vAlign w:val="center"/>
          </w:tcPr>
          <w:p w14:paraId="1C19A97B">
            <w:pPr>
              <w:widowControl/>
              <w:snapToGrid w:val="0"/>
              <w:spacing w:line="300" w:lineRule="auto"/>
              <w:rPr>
                <w:rFonts w:ascii="仿宋" w:hAnsi="仿宋" w:eastAsia="仿宋"/>
                <w:sz w:val="24"/>
              </w:rPr>
            </w:pPr>
          </w:p>
        </w:tc>
        <w:tc>
          <w:tcPr>
            <w:tcW w:w="5585" w:type="dxa"/>
            <w:shd w:val="clear" w:color="auto" w:fill="auto"/>
            <w:noWrap w:val="0"/>
            <w:vAlign w:val="center"/>
          </w:tcPr>
          <w:p w14:paraId="3ED76EB3">
            <w:pPr>
              <w:widowControl/>
              <w:snapToGrid w:val="0"/>
              <w:spacing w:line="300" w:lineRule="auto"/>
              <w:jc w:val="left"/>
              <w:rPr>
                <w:rFonts w:ascii="仿宋" w:hAnsi="仿宋" w:eastAsia="仿宋" w:cs="Calibri"/>
                <w:sz w:val="24"/>
              </w:rPr>
            </w:pPr>
            <w:r>
              <w:rPr>
                <w:rFonts w:hint="eastAsia" w:ascii="仿宋" w:hAnsi="仿宋" w:eastAsia="仿宋" w:cs="Calibri"/>
                <w:sz w:val="24"/>
              </w:rPr>
              <w:t>（5）</w:t>
            </w:r>
            <w:r>
              <w:rPr>
                <w:rFonts w:ascii="仿宋" w:hAnsi="仿宋" w:eastAsia="仿宋" w:cs="Calibri"/>
                <w:sz w:val="24"/>
              </w:rPr>
              <w:t>办公楼外观完好，</w:t>
            </w:r>
            <w:r>
              <w:rPr>
                <w:rFonts w:hint="eastAsia" w:ascii="仿宋" w:hAnsi="仿宋" w:eastAsia="仿宋" w:cs="Calibri"/>
                <w:sz w:val="24"/>
              </w:rPr>
              <w:t>建筑装饰面</w:t>
            </w:r>
            <w:r>
              <w:rPr>
                <w:rFonts w:ascii="仿宋" w:hAnsi="仿宋" w:eastAsia="仿宋" w:cs="Calibri"/>
                <w:sz w:val="24"/>
              </w:rPr>
              <w:t>无脱落</w:t>
            </w:r>
            <w:r>
              <w:rPr>
                <w:rFonts w:hint="eastAsia" w:ascii="仿宋" w:hAnsi="仿宋" w:eastAsia="仿宋" w:cs="Calibri"/>
                <w:sz w:val="24"/>
              </w:rPr>
              <w:t>、</w:t>
            </w:r>
            <w:r>
              <w:rPr>
                <w:rFonts w:ascii="仿宋" w:hAnsi="仿宋" w:eastAsia="仿宋" w:cs="Calibri"/>
                <w:sz w:val="24"/>
              </w:rPr>
              <w:t>无破损</w:t>
            </w:r>
            <w:r>
              <w:rPr>
                <w:rFonts w:hint="eastAsia" w:ascii="仿宋" w:hAnsi="仿宋" w:eastAsia="仿宋" w:cs="Calibri"/>
                <w:sz w:val="24"/>
              </w:rPr>
              <w:t>、无</w:t>
            </w:r>
            <w:r>
              <w:rPr>
                <w:rFonts w:ascii="仿宋" w:hAnsi="仿宋" w:eastAsia="仿宋" w:cs="Calibri"/>
                <w:sz w:val="24"/>
              </w:rPr>
              <w:t>污渍</w:t>
            </w:r>
            <w:r>
              <w:rPr>
                <w:rFonts w:hint="eastAsia" w:ascii="仿宋" w:hAnsi="仿宋" w:eastAsia="仿宋" w:cs="Calibri"/>
                <w:sz w:val="24"/>
              </w:rPr>
              <w:t>，</w:t>
            </w:r>
            <w:r>
              <w:rPr>
                <w:rFonts w:ascii="仿宋" w:hAnsi="仿宋" w:eastAsia="仿宋" w:cs="Calibri"/>
                <w:sz w:val="24"/>
              </w:rPr>
              <w:t>玻璃幕墙清洁明亮、无破损</w:t>
            </w:r>
            <w:r>
              <w:rPr>
                <w:rFonts w:hint="eastAsia" w:ascii="仿宋" w:hAnsi="仿宋" w:eastAsia="仿宋" w:cs="Calibri"/>
                <w:sz w:val="24"/>
              </w:rPr>
              <w:t>。</w:t>
            </w:r>
          </w:p>
        </w:tc>
      </w:tr>
      <w:tr w14:paraId="463B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86" w:type="dxa"/>
            <w:vMerge w:val="continue"/>
            <w:shd w:val="clear" w:color="auto" w:fill="auto"/>
            <w:noWrap w:val="0"/>
            <w:vAlign w:val="center"/>
          </w:tcPr>
          <w:p w14:paraId="44111BCD">
            <w:pPr>
              <w:widowControl/>
              <w:snapToGrid w:val="0"/>
              <w:spacing w:line="300" w:lineRule="auto"/>
              <w:jc w:val="center"/>
              <w:rPr>
                <w:rFonts w:ascii="仿宋" w:hAnsi="仿宋" w:eastAsia="仿宋"/>
                <w:sz w:val="24"/>
              </w:rPr>
            </w:pPr>
          </w:p>
        </w:tc>
        <w:tc>
          <w:tcPr>
            <w:tcW w:w="1925" w:type="dxa"/>
            <w:vMerge w:val="continue"/>
            <w:shd w:val="clear" w:color="auto" w:fill="auto"/>
            <w:noWrap w:val="0"/>
            <w:vAlign w:val="center"/>
          </w:tcPr>
          <w:p w14:paraId="2B9E38FA">
            <w:pPr>
              <w:widowControl/>
              <w:snapToGrid w:val="0"/>
              <w:spacing w:line="300" w:lineRule="auto"/>
              <w:rPr>
                <w:rFonts w:ascii="仿宋" w:hAnsi="仿宋" w:eastAsia="仿宋"/>
                <w:sz w:val="24"/>
              </w:rPr>
            </w:pPr>
          </w:p>
        </w:tc>
        <w:tc>
          <w:tcPr>
            <w:tcW w:w="5585" w:type="dxa"/>
            <w:shd w:val="clear" w:color="auto" w:fill="auto"/>
            <w:noWrap w:val="0"/>
            <w:vAlign w:val="center"/>
          </w:tcPr>
          <w:p w14:paraId="08226EFA">
            <w:pPr>
              <w:widowControl/>
              <w:snapToGrid w:val="0"/>
              <w:spacing w:line="300" w:lineRule="auto"/>
              <w:jc w:val="left"/>
              <w:rPr>
                <w:rFonts w:ascii="仿宋" w:hAnsi="仿宋" w:eastAsia="仿宋" w:cs="Calibri"/>
                <w:sz w:val="24"/>
              </w:rPr>
            </w:pPr>
            <w:r>
              <w:rPr>
                <w:rFonts w:hint="eastAsia" w:ascii="仿宋" w:hAnsi="仿宋" w:eastAsia="仿宋" w:cs="Calibri"/>
                <w:sz w:val="24"/>
              </w:rPr>
              <w:t xml:space="preserve"> （6）通道、楼梯、</w:t>
            </w:r>
            <w:r>
              <w:rPr>
                <w:rFonts w:ascii="仿宋" w:hAnsi="仿宋" w:eastAsia="仿宋" w:cs="Calibri"/>
                <w:sz w:val="24"/>
              </w:rPr>
              <w:t>门窗等设施的完好和正常使用</w:t>
            </w:r>
            <w:r>
              <w:rPr>
                <w:rFonts w:hint="eastAsia" w:ascii="仿宋" w:hAnsi="仿宋" w:eastAsia="仿宋" w:cs="Calibri"/>
                <w:sz w:val="24"/>
              </w:rPr>
              <w:t>。</w:t>
            </w:r>
          </w:p>
        </w:tc>
      </w:tr>
      <w:tr w14:paraId="6D8F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restart"/>
            <w:shd w:val="clear" w:color="auto" w:fill="auto"/>
            <w:noWrap w:val="0"/>
            <w:vAlign w:val="center"/>
          </w:tcPr>
          <w:p w14:paraId="7FC0F997">
            <w:pPr>
              <w:widowControl/>
              <w:snapToGrid w:val="0"/>
              <w:spacing w:line="300" w:lineRule="auto"/>
              <w:jc w:val="center"/>
              <w:rPr>
                <w:rFonts w:ascii="仿宋" w:hAnsi="仿宋" w:eastAsia="仿宋"/>
                <w:sz w:val="24"/>
              </w:rPr>
            </w:pPr>
            <w:r>
              <w:rPr>
                <w:rFonts w:hint="eastAsia" w:ascii="仿宋" w:hAnsi="仿宋" w:eastAsia="仿宋"/>
                <w:sz w:val="24"/>
              </w:rPr>
              <w:t>2</w:t>
            </w:r>
          </w:p>
        </w:tc>
        <w:tc>
          <w:tcPr>
            <w:tcW w:w="1925" w:type="dxa"/>
            <w:vMerge w:val="restart"/>
            <w:shd w:val="clear" w:color="auto" w:fill="auto"/>
            <w:noWrap w:val="0"/>
            <w:vAlign w:val="center"/>
          </w:tcPr>
          <w:p w14:paraId="083E218B">
            <w:pPr>
              <w:widowControl/>
              <w:snapToGrid w:val="0"/>
              <w:spacing w:line="300" w:lineRule="auto"/>
              <w:rPr>
                <w:rFonts w:ascii="仿宋" w:hAnsi="仿宋" w:eastAsia="仿宋"/>
                <w:sz w:val="24"/>
              </w:rPr>
            </w:pPr>
            <w:r>
              <w:rPr>
                <w:rFonts w:hint="eastAsia" w:ascii="仿宋" w:hAnsi="仿宋" w:eastAsia="仿宋"/>
                <w:sz w:val="24"/>
              </w:rPr>
              <w:t>其他设施</w:t>
            </w:r>
          </w:p>
        </w:tc>
        <w:tc>
          <w:tcPr>
            <w:tcW w:w="5585" w:type="dxa"/>
            <w:shd w:val="clear" w:color="auto" w:fill="auto"/>
            <w:noWrap w:val="0"/>
            <w:vAlign w:val="center"/>
          </w:tcPr>
          <w:p w14:paraId="4E301A96">
            <w:pPr>
              <w:widowControl/>
              <w:snapToGrid w:val="0"/>
              <w:spacing w:line="300" w:lineRule="auto"/>
              <w:ind w:firstLine="240" w:firstLineChars="100"/>
              <w:jc w:val="left"/>
              <w:rPr>
                <w:rFonts w:ascii="仿宋" w:hAnsi="仿宋" w:eastAsia="仿宋" w:cs="Calibri"/>
                <w:sz w:val="24"/>
              </w:rPr>
            </w:pPr>
            <w:r>
              <w:rPr>
                <w:rFonts w:hint="eastAsia" w:ascii="仿宋" w:hAnsi="仿宋" w:eastAsia="仿宋" w:cs="Calibri"/>
                <w:sz w:val="24"/>
              </w:rPr>
              <w:t>（1）每半月至少开展1次大门、围墙、道路、场地、管井、沟渠等巡查，每半月至少检查1次雨污水管井、化粪池等巡查，发现破损，及时向采购人报告，按采购人要求出具维修方案，待采购人同意后按维修方案实施维修。</w:t>
            </w:r>
          </w:p>
        </w:tc>
      </w:tr>
      <w:tr w14:paraId="40EA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07064B74">
            <w:pPr>
              <w:widowControl/>
              <w:snapToGrid w:val="0"/>
              <w:spacing w:line="300" w:lineRule="auto"/>
              <w:jc w:val="center"/>
              <w:rPr>
                <w:rFonts w:ascii="仿宋" w:hAnsi="仿宋" w:eastAsia="仿宋"/>
                <w:sz w:val="24"/>
              </w:rPr>
            </w:pPr>
          </w:p>
        </w:tc>
        <w:tc>
          <w:tcPr>
            <w:tcW w:w="1925" w:type="dxa"/>
            <w:vMerge w:val="continue"/>
            <w:shd w:val="clear" w:color="auto" w:fill="auto"/>
            <w:noWrap w:val="0"/>
            <w:vAlign w:val="center"/>
          </w:tcPr>
          <w:p w14:paraId="1330F03E">
            <w:pPr>
              <w:widowControl/>
              <w:snapToGrid w:val="0"/>
              <w:spacing w:line="300" w:lineRule="auto"/>
              <w:rPr>
                <w:rFonts w:ascii="仿宋" w:hAnsi="仿宋" w:eastAsia="仿宋"/>
                <w:sz w:val="24"/>
              </w:rPr>
            </w:pPr>
          </w:p>
        </w:tc>
        <w:tc>
          <w:tcPr>
            <w:tcW w:w="5585" w:type="dxa"/>
            <w:shd w:val="clear" w:color="auto" w:fill="auto"/>
            <w:noWrap w:val="0"/>
            <w:vAlign w:val="center"/>
          </w:tcPr>
          <w:p w14:paraId="3DD7BC1A">
            <w:pPr>
              <w:widowControl/>
              <w:snapToGrid w:val="0"/>
              <w:spacing w:line="300" w:lineRule="auto"/>
              <w:jc w:val="left"/>
              <w:rPr>
                <w:rFonts w:ascii="仿宋" w:hAnsi="仿宋" w:eastAsia="仿宋" w:cs="Calibri"/>
                <w:sz w:val="24"/>
              </w:rPr>
            </w:pPr>
            <w:r>
              <w:rPr>
                <w:rFonts w:hint="eastAsia" w:ascii="仿宋" w:hAnsi="仿宋" w:eastAsia="仿宋" w:cs="Calibri"/>
                <w:sz w:val="24"/>
              </w:rPr>
              <w:t>（2）每年至少开展1次防雷装置检测并提供检测报告，发现失效，及时向采购人报告，按采购人要求出具维修方案，待采购人同意后按维修方案实施维修。</w:t>
            </w:r>
          </w:p>
        </w:tc>
      </w:tr>
      <w:tr w14:paraId="35CE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6" w:type="dxa"/>
            <w:vMerge w:val="continue"/>
            <w:shd w:val="clear" w:color="auto" w:fill="auto"/>
            <w:noWrap w:val="0"/>
            <w:vAlign w:val="center"/>
          </w:tcPr>
          <w:p w14:paraId="3A8BC6D5">
            <w:pPr>
              <w:widowControl/>
              <w:snapToGrid w:val="0"/>
              <w:spacing w:line="300" w:lineRule="auto"/>
              <w:jc w:val="center"/>
              <w:rPr>
                <w:rFonts w:ascii="仿宋" w:hAnsi="仿宋" w:eastAsia="仿宋"/>
                <w:sz w:val="24"/>
              </w:rPr>
            </w:pPr>
          </w:p>
        </w:tc>
        <w:tc>
          <w:tcPr>
            <w:tcW w:w="1925" w:type="dxa"/>
            <w:vMerge w:val="continue"/>
            <w:shd w:val="clear" w:color="auto" w:fill="auto"/>
            <w:noWrap w:val="0"/>
            <w:vAlign w:val="center"/>
          </w:tcPr>
          <w:p w14:paraId="4A30CB46">
            <w:pPr>
              <w:widowControl/>
              <w:snapToGrid w:val="0"/>
              <w:spacing w:line="300" w:lineRule="auto"/>
              <w:rPr>
                <w:rFonts w:ascii="仿宋" w:hAnsi="仿宋" w:eastAsia="仿宋"/>
                <w:sz w:val="24"/>
              </w:rPr>
            </w:pPr>
          </w:p>
        </w:tc>
        <w:tc>
          <w:tcPr>
            <w:tcW w:w="5585" w:type="dxa"/>
            <w:shd w:val="clear" w:color="auto" w:fill="auto"/>
            <w:noWrap w:val="0"/>
            <w:vAlign w:val="center"/>
          </w:tcPr>
          <w:p w14:paraId="60446D21">
            <w:pPr>
              <w:widowControl/>
              <w:snapToGrid w:val="0"/>
              <w:spacing w:line="300" w:lineRule="auto"/>
              <w:jc w:val="left"/>
              <w:rPr>
                <w:rFonts w:ascii="仿宋" w:hAnsi="仿宋" w:eastAsia="仿宋" w:cs="Calibri"/>
                <w:sz w:val="24"/>
              </w:rPr>
            </w:pPr>
            <w:r>
              <w:rPr>
                <w:rFonts w:hint="eastAsia" w:ascii="仿宋" w:hAnsi="仿宋" w:eastAsia="仿宋" w:cs="Calibri"/>
                <w:sz w:val="24"/>
              </w:rPr>
              <w:t>（3）</w:t>
            </w:r>
            <w:r>
              <w:rPr>
                <w:rFonts w:ascii="仿宋" w:hAnsi="仿宋" w:eastAsia="仿宋" w:cs="Calibri"/>
                <w:sz w:val="24"/>
              </w:rPr>
              <w:t>路面状态良好，地漏通畅不堵塞</w:t>
            </w:r>
            <w:r>
              <w:rPr>
                <w:rFonts w:hint="eastAsia" w:ascii="仿宋" w:hAnsi="仿宋" w:eastAsia="仿宋" w:cs="Calibri"/>
                <w:sz w:val="24"/>
              </w:rPr>
              <w:t>。</w:t>
            </w:r>
          </w:p>
        </w:tc>
      </w:tr>
    </w:tbl>
    <w:p w14:paraId="631F207F">
      <w:pPr>
        <w:spacing w:line="360" w:lineRule="auto"/>
        <w:ind w:firstLine="480" w:firstLineChars="200"/>
        <w:rPr>
          <w:rFonts w:ascii="仿宋" w:hAnsi="仿宋" w:eastAsia="仿宋" w:cs="仿宋"/>
          <w:iCs/>
          <w:sz w:val="24"/>
        </w:rPr>
      </w:pPr>
      <w:r>
        <w:rPr>
          <w:rFonts w:hint="eastAsia" w:ascii="仿宋" w:hAnsi="仿宋" w:eastAsia="仿宋" w:cs="仿宋"/>
          <w:iCs/>
          <w:sz w:val="24"/>
        </w:rPr>
        <w:t>注：维修配件单件3</w:t>
      </w:r>
      <w:r>
        <w:rPr>
          <w:rFonts w:ascii="仿宋" w:hAnsi="仿宋" w:eastAsia="仿宋" w:cs="仿宋"/>
          <w:iCs/>
          <w:sz w:val="24"/>
        </w:rPr>
        <w:t>00</w:t>
      </w:r>
      <w:r>
        <w:rPr>
          <w:rFonts w:hint="eastAsia" w:ascii="仿宋" w:hAnsi="仿宋" w:eastAsia="仿宋" w:cs="仿宋"/>
          <w:iCs/>
          <w:sz w:val="24"/>
        </w:rPr>
        <w:t>元以内由中标人负责， 3</w:t>
      </w:r>
      <w:r>
        <w:rPr>
          <w:rFonts w:ascii="仿宋" w:hAnsi="仿宋" w:eastAsia="仿宋" w:cs="仿宋"/>
          <w:iCs/>
          <w:sz w:val="24"/>
        </w:rPr>
        <w:t>00</w:t>
      </w:r>
      <w:r>
        <w:rPr>
          <w:rFonts w:hint="eastAsia" w:ascii="仿宋" w:hAnsi="仿宋" w:eastAsia="仿宋" w:cs="仿宋"/>
          <w:iCs/>
          <w:sz w:val="24"/>
        </w:rPr>
        <w:t>元以上的维修配件由中标人提出申请，经采购单位同意后由采购单位购买，中标人以旧换新，服务标准涉及的国家标准有更新的，执行国家最新标准。</w:t>
      </w:r>
    </w:p>
    <w:p w14:paraId="212C4E4D">
      <w:pPr>
        <w:spacing w:line="360" w:lineRule="auto"/>
        <w:ind w:firstLine="480" w:firstLineChars="200"/>
        <w:rPr>
          <w:rFonts w:ascii="仿宋" w:hAnsi="仿宋" w:eastAsia="仿宋" w:cs="仿宋"/>
          <w:iCs/>
          <w:sz w:val="24"/>
        </w:rPr>
      </w:pPr>
    </w:p>
    <w:p w14:paraId="1FFFDCCD">
      <w:pPr>
        <w:spacing w:line="360" w:lineRule="auto"/>
        <w:ind w:firstLine="480" w:firstLineChars="200"/>
        <w:rPr>
          <w:rFonts w:ascii="仿宋" w:hAnsi="仿宋" w:eastAsia="仿宋" w:cs="仿宋"/>
          <w:iCs/>
          <w:sz w:val="24"/>
        </w:rPr>
      </w:pPr>
    </w:p>
    <w:p w14:paraId="6339D836">
      <w:pPr>
        <w:spacing w:line="360" w:lineRule="auto"/>
        <w:ind w:firstLine="480" w:firstLineChars="200"/>
        <w:rPr>
          <w:rFonts w:ascii="仿宋" w:hAnsi="仿宋" w:eastAsia="仿宋" w:cs="仿宋"/>
          <w:iCs/>
          <w:sz w:val="24"/>
        </w:rPr>
      </w:pPr>
      <w:r>
        <w:rPr>
          <w:rFonts w:ascii="仿宋" w:hAnsi="仿宋" w:eastAsia="仿宋" w:cs="仿宋"/>
          <w:iCs/>
          <w:sz w:val="24"/>
        </w:rPr>
        <w:t>2.2.2</w:t>
      </w:r>
      <w:r>
        <w:rPr>
          <w:rFonts w:hint="eastAsia" w:ascii="仿宋" w:hAnsi="仿宋" w:eastAsia="仿宋" w:cs="仿宋"/>
          <w:iCs/>
          <w:sz w:val="24"/>
        </w:rPr>
        <w:t>公用设施设备维护</w:t>
      </w:r>
      <w:r>
        <w:rPr>
          <w:rFonts w:ascii="仿宋" w:hAnsi="仿宋" w:eastAsia="仿宋" w:cs="仿宋"/>
          <w:iCs/>
          <w:sz w:val="24"/>
        </w:rPr>
        <w:t>服务</w:t>
      </w:r>
      <w:r>
        <w:rPr>
          <w:rFonts w:hint="eastAsia" w:ascii="仿宋" w:hAnsi="仿宋" w:eastAsia="仿宋" w:cs="仿宋"/>
          <w:iCs/>
          <w:sz w:val="24"/>
        </w:rPr>
        <w:t>标准</w:t>
      </w:r>
    </w:p>
    <w:tbl>
      <w:tblPr>
        <w:tblStyle w:val="4"/>
        <w:tblW w:w="5017"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351"/>
        <w:gridCol w:w="6601"/>
      </w:tblGrid>
      <w:tr w14:paraId="69D1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shd w:val="clear" w:color="auto" w:fill="auto"/>
            <w:noWrap w:val="0"/>
            <w:vAlign w:val="center"/>
          </w:tcPr>
          <w:p w14:paraId="3369C1A8">
            <w:pPr>
              <w:widowControl/>
              <w:snapToGrid w:val="0"/>
              <w:spacing w:line="300" w:lineRule="auto"/>
              <w:jc w:val="center"/>
              <w:rPr>
                <w:rFonts w:ascii="Calibri" w:hAnsi="Calibri" w:cs="Calibri"/>
                <w:bCs/>
                <w:sz w:val="28"/>
                <w:szCs w:val="28"/>
              </w:rPr>
            </w:pPr>
            <w:r>
              <w:rPr>
                <w:rFonts w:hint="eastAsia" w:cs="Calibri"/>
                <w:bCs/>
                <w:sz w:val="28"/>
                <w:szCs w:val="28"/>
              </w:rPr>
              <w:t>序号</w:t>
            </w:r>
          </w:p>
        </w:tc>
        <w:tc>
          <w:tcPr>
            <w:tcW w:w="1315" w:type="dxa"/>
            <w:shd w:val="clear" w:color="auto" w:fill="auto"/>
            <w:noWrap w:val="0"/>
            <w:vAlign w:val="center"/>
          </w:tcPr>
          <w:p w14:paraId="45FE605D">
            <w:pPr>
              <w:widowControl/>
              <w:snapToGrid w:val="0"/>
              <w:spacing w:line="300" w:lineRule="auto"/>
              <w:jc w:val="center"/>
              <w:rPr>
                <w:rFonts w:ascii="Calibri" w:hAnsi="Calibri" w:cs="Calibri"/>
                <w:bCs/>
                <w:sz w:val="28"/>
                <w:szCs w:val="28"/>
              </w:rPr>
            </w:pPr>
            <w:r>
              <w:rPr>
                <w:rFonts w:ascii="Calibri" w:hAnsi="Calibri" w:cs="Calibri"/>
                <w:bCs/>
                <w:sz w:val="28"/>
                <w:szCs w:val="28"/>
              </w:rPr>
              <w:t>服务内容</w:t>
            </w:r>
          </w:p>
        </w:tc>
        <w:tc>
          <w:tcPr>
            <w:tcW w:w="6425" w:type="dxa"/>
            <w:shd w:val="clear" w:color="auto" w:fill="auto"/>
            <w:noWrap w:val="0"/>
            <w:vAlign w:val="center"/>
          </w:tcPr>
          <w:p w14:paraId="442C2419">
            <w:pPr>
              <w:widowControl/>
              <w:snapToGrid w:val="0"/>
              <w:spacing w:line="300" w:lineRule="auto"/>
              <w:jc w:val="center"/>
              <w:rPr>
                <w:rFonts w:ascii="Calibri" w:hAnsi="Calibri" w:cs="Calibri"/>
                <w:bCs/>
                <w:sz w:val="28"/>
                <w:szCs w:val="28"/>
              </w:rPr>
            </w:pPr>
            <w:r>
              <w:rPr>
                <w:rFonts w:hint="eastAsia" w:cs="Calibri"/>
                <w:bCs/>
                <w:sz w:val="28"/>
                <w:szCs w:val="28"/>
              </w:rPr>
              <w:t>服务标准</w:t>
            </w:r>
          </w:p>
        </w:tc>
      </w:tr>
      <w:tr w14:paraId="7DCF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584" w:type="dxa"/>
            <w:shd w:val="clear" w:color="auto" w:fill="auto"/>
            <w:noWrap w:val="0"/>
            <w:vAlign w:val="center"/>
          </w:tcPr>
          <w:p w14:paraId="74621DBC">
            <w:pPr>
              <w:widowControl/>
              <w:snapToGrid w:val="0"/>
              <w:spacing w:line="300" w:lineRule="auto"/>
              <w:jc w:val="center"/>
              <w:rPr>
                <w:rFonts w:ascii="仿宋" w:hAnsi="仿宋" w:eastAsia="仿宋"/>
                <w:sz w:val="24"/>
              </w:rPr>
            </w:pPr>
            <w:r>
              <w:rPr>
                <w:rFonts w:hint="eastAsia" w:ascii="仿宋" w:hAnsi="仿宋" w:eastAsia="仿宋"/>
                <w:sz w:val="24"/>
              </w:rPr>
              <w:t>1</w:t>
            </w:r>
          </w:p>
        </w:tc>
        <w:tc>
          <w:tcPr>
            <w:tcW w:w="1315" w:type="dxa"/>
            <w:shd w:val="clear" w:color="auto" w:fill="auto"/>
            <w:noWrap w:val="0"/>
            <w:vAlign w:val="center"/>
          </w:tcPr>
          <w:p w14:paraId="4AE88FBF">
            <w:pPr>
              <w:widowControl/>
              <w:snapToGrid w:val="0"/>
              <w:spacing w:line="300" w:lineRule="auto"/>
              <w:rPr>
                <w:rFonts w:ascii="仿宋" w:hAnsi="仿宋" w:eastAsia="仿宋"/>
                <w:sz w:val="24"/>
              </w:rPr>
            </w:pPr>
            <w:r>
              <w:rPr>
                <w:rFonts w:ascii="仿宋" w:hAnsi="仿宋" w:eastAsia="仿宋"/>
                <w:sz w:val="24"/>
              </w:rPr>
              <w:t>基本要求</w:t>
            </w:r>
          </w:p>
        </w:tc>
        <w:tc>
          <w:tcPr>
            <w:tcW w:w="6425" w:type="dxa"/>
            <w:shd w:val="clear" w:color="auto" w:fill="auto"/>
            <w:noWrap w:val="0"/>
            <w:vAlign w:val="center"/>
          </w:tcPr>
          <w:p w14:paraId="605460A7">
            <w:pPr>
              <w:widowControl/>
              <w:snapToGrid w:val="0"/>
              <w:spacing w:line="300" w:lineRule="auto"/>
              <w:jc w:val="left"/>
              <w:rPr>
                <w:rFonts w:ascii="仿宋" w:hAnsi="仿宋" w:eastAsia="仿宋" w:cs="Calibri"/>
                <w:sz w:val="24"/>
              </w:rPr>
            </w:pPr>
            <w:r>
              <w:rPr>
                <w:rFonts w:hint="eastAsia" w:ascii="仿宋" w:hAnsi="仿宋" w:eastAsia="仿宋" w:cs="Calibri"/>
                <w:sz w:val="24"/>
              </w:rPr>
              <w:t>（1）重大节假日及恶劣天气前后，组织系统巡检1次。</w:t>
            </w:r>
          </w:p>
          <w:p w14:paraId="02D8F6FC">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2</w:t>
            </w:r>
            <w:r>
              <w:rPr>
                <w:rFonts w:hint="eastAsia" w:ascii="仿宋" w:hAnsi="仿宋" w:eastAsia="仿宋" w:cs="Calibri"/>
                <w:sz w:val="24"/>
              </w:rPr>
              <w:t>）对公共设施设备每天巡视不少于</w:t>
            </w:r>
            <w:r>
              <w:rPr>
                <w:rFonts w:ascii="仿宋" w:hAnsi="仿宋" w:eastAsia="仿宋" w:cs="Calibri"/>
                <w:sz w:val="24"/>
              </w:rPr>
              <w:t>1</w:t>
            </w:r>
            <w:r>
              <w:rPr>
                <w:rFonts w:hint="eastAsia" w:ascii="仿宋" w:hAnsi="仿宋" w:eastAsia="仿宋" w:cs="Calibri"/>
                <w:sz w:val="24"/>
              </w:rPr>
              <w:t>次；对楼层设备间每周巡视不少于1次；</w:t>
            </w:r>
          </w:p>
          <w:p w14:paraId="3974E672">
            <w:pPr>
              <w:widowControl/>
              <w:snapToGrid w:val="0"/>
              <w:spacing w:line="300" w:lineRule="auto"/>
              <w:jc w:val="left"/>
              <w:rPr>
                <w:rFonts w:ascii="仿宋" w:hAnsi="仿宋" w:eastAsia="仿宋" w:cs="Calibri"/>
                <w:sz w:val="24"/>
              </w:rPr>
            </w:pPr>
            <w:r>
              <w:rPr>
                <w:rFonts w:hint="eastAsia" w:ascii="仿宋" w:hAnsi="仿宋" w:eastAsia="仿宋" w:cs="Calibri"/>
                <w:sz w:val="24"/>
              </w:rPr>
              <w:t>（3）每日对公共设施设备中的电梯、消防、空调、供配电、给排水等设施设备系统巡视，发现问题及时联系维护保养单位处理；</w:t>
            </w:r>
          </w:p>
          <w:p w14:paraId="6AED514A">
            <w:pPr>
              <w:widowControl/>
              <w:snapToGrid w:val="0"/>
              <w:spacing w:line="300" w:lineRule="auto"/>
              <w:jc w:val="left"/>
              <w:rPr>
                <w:rFonts w:ascii="仿宋" w:hAnsi="仿宋" w:eastAsia="仿宋" w:cs="Calibri"/>
                <w:sz w:val="24"/>
              </w:rPr>
            </w:pPr>
            <w:r>
              <w:rPr>
                <w:rFonts w:hint="eastAsia" w:ascii="仿宋" w:hAnsi="仿宋" w:eastAsia="仿宋" w:cs="Calibri"/>
                <w:sz w:val="24"/>
              </w:rPr>
              <w:t>（4）制定设施设备应急预案并定期演练；</w:t>
            </w:r>
          </w:p>
          <w:p w14:paraId="2FE5B807">
            <w:pPr>
              <w:widowControl/>
              <w:snapToGrid w:val="0"/>
              <w:spacing w:line="300" w:lineRule="auto"/>
              <w:jc w:val="left"/>
              <w:rPr>
                <w:rFonts w:ascii="仿宋" w:hAnsi="仿宋" w:eastAsia="仿宋" w:cs="Calibri"/>
                <w:sz w:val="24"/>
              </w:rPr>
            </w:pPr>
            <w:r>
              <w:rPr>
                <w:rFonts w:hint="eastAsia" w:ascii="仿宋" w:hAnsi="仿宋" w:eastAsia="仿宋" w:cs="Calibri"/>
                <w:sz w:val="24"/>
              </w:rPr>
              <w:t>（5）根据国家相关规定，做好高压配电室24小时值班服务。</w:t>
            </w:r>
          </w:p>
        </w:tc>
      </w:tr>
      <w:tr w14:paraId="3AFD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trPr>
        <w:tc>
          <w:tcPr>
            <w:tcW w:w="584" w:type="dxa"/>
            <w:shd w:val="clear" w:color="auto" w:fill="auto"/>
            <w:noWrap w:val="0"/>
            <w:vAlign w:val="center"/>
          </w:tcPr>
          <w:p w14:paraId="07D269CA">
            <w:pPr>
              <w:widowControl/>
              <w:snapToGrid w:val="0"/>
              <w:spacing w:line="300" w:lineRule="auto"/>
              <w:jc w:val="center"/>
              <w:rPr>
                <w:rFonts w:ascii="仿宋" w:hAnsi="仿宋" w:eastAsia="仿宋"/>
                <w:sz w:val="24"/>
              </w:rPr>
            </w:pPr>
            <w:r>
              <w:rPr>
                <w:rFonts w:hint="eastAsia" w:ascii="仿宋" w:hAnsi="仿宋" w:eastAsia="仿宋"/>
                <w:sz w:val="24"/>
              </w:rPr>
              <w:t>2</w:t>
            </w:r>
          </w:p>
        </w:tc>
        <w:tc>
          <w:tcPr>
            <w:tcW w:w="1315" w:type="dxa"/>
            <w:shd w:val="clear" w:color="auto" w:fill="auto"/>
            <w:noWrap w:val="0"/>
            <w:vAlign w:val="center"/>
          </w:tcPr>
          <w:p w14:paraId="1930B45D">
            <w:pPr>
              <w:widowControl/>
              <w:snapToGrid w:val="0"/>
              <w:spacing w:line="300" w:lineRule="auto"/>
              <w:rPr>
                <w:rFonts w:ascii="仿宋" w:hAnsi="仿宋" w:eastAsia="仿宋"/>
                <w:sz w:val="24"/>
              </w:rPr>
            </w:pPr>
            <w:r>
              <w:rPr>
                <w:rFonts w:ascii="仿宋" w:hAnsi="仿宋" w:eastAsia="仿宋"/>
                <w:sz w:val="24"/>
              </w:rPr>
              <w:t>设备机房</w:t>
            </w:r>
          </w:p>
        </w:tc>
        <w:tc>
          <w:tcPr>
            <w:tcW w:w="6425" w:type="dxa"/>
            <w:shd w:val="clear" w:color="auto" w:fill="auto"/>
            <w:noWrap w:val="0"/>
            <w:vAlign w:val="center"/>
          </w:tcPr>
          <w:p w14:paraId="7C08194B">
            <w:pPr>
              <w:widowControl/>
              <w:snapToGrid w:val="0"/>
              <w:spacing w:line="300" w:lineRule="auto"/>
              <w:jc w:val="left"/>
              <w:rPr>
                <w:rFonts w:ascii="仿宋" w:hAnsi="仿宋" w:eastAsia="仿宋" w:cs="Calibri"/>
                <w:sz w:val="24"/>
              </w:rPr>
            </w:pPr>
            <w:r>
              <w:rPr>
                <w:rFonts w:hint="eastAsia" w:ascii="仿宋" w:hAnsi="仿宋" w:eastAsia="仿宋" w:cs="Calibri"/>
                <w:sz w:val="24"/>
              </w:rPr>
              <w:t>（1）设备机房门口有机房类别及安全标志。落实各类机房责任人、督查人，且设备系统图、应急预案流程图、管理制度、特种作业人员资格证书等上墙文件或证书符合各设备机房国家标准规范要求，机房巡视及外来人员记录清晰完整，标识统一。</w:t>
            </w:r>
          </w:p>
          <w:p w14:paraId="2968B1C4">
            <w:pPr>
              <w:widowControl/>
              <w:snapToGrid w:val="0"/>
              <w:spacing w:line="300" w:lineRule="auto"/>
              <w:jc w:val="left"/>
              <w:rPr>
                <w:rFonts w:ascii="仿宋" w:hAnsi="仿宋" w:eastAsia="仿宋" w:cs="Calibri"/>
                <w:sz w:val="24"/>
              </w:rPr>
            </w:pPr>
            <w:r>
              <w:rPr>
                <w:rFonts w:hint="eastAsia" w:ascii="仿宋" w:hAnsi="仿宋" w:eastAsia="仿宋" w:cs="Calibri"/>
                <w:sz w:val="24"/>
              </w:rPr>
              <w:t>（2）设备机房门窗、锁具应当完好、有效。</w:t>
            </w:r>
          </w:p>
          <w:p w14:paraId="7444288B">
            <w:pPr>
              <w:widowControl/>
              <w:snapToGrid w:val="0"/>
              <w:spacing w:line="300" w:lineRule="auto"/>
              <w:jc w:val="left"/>
              <w:rPr>
                <w:rFonts w:ascii="仿宋" w:hAnsi="仿宋" w:eastAsia="仿宋" w:cs="Calibri"/>
                <w:sz w:val="24"/>
              </w:rPr>
            </w:pPr>
            <w:r>
              <w:rPr>
                <w:rFonts w:hint="eastAsia" w:ascii="仿宋" w:hAnsi="仿宋" w:eastAsia="仿宋" w:cs="Calibri"/>
                <w:sz w:val="24"/>
              </w:rPr>
              <w:t>（3）每半月至少开展1次清洁，整洁有序、无杂物、无积尘、无鼠、无虫害，温湿度符合设备运行要求。</w:t>
            </w:r>
          </w:p>
          <w:p w14:paraId="03FE4741">
            <w:pPr>
              <w:widowControl/>
              <w:snapToGrid w:val="0"/>
              <w:spacing w:line="300" w:lineRule="auto"/>
              <w:jc w:val="left"/>
              <w:rPr>
                <w:rFonts w:ascii="仿宋" w:hAnsi="仿宋" w:eastAsia="仿宋" w:cs="Calibri"/>
                <w:sz w:val="24"/>
              </w:rPr>
            </w:pPr>
            <w:r>
              <w:rPr>
                <w:rFonts w:hint="eastAsia" w:ascii="仿宋" w:hAnsi="仿宋" w:eastAsia="仿宋" w:cs="Calibri"/>
                <w:sz w:val="24"/>
              </w:rPr>
              <w:t>（4）按各设备机房国家标准规范规定维护/保管消防、通风、应急照明，防止小动物进入。</w:t>
            </w:r>
          </w:p>
          <w:p w14:paraId="5F0D88B1">
            <w:pPr>
              <w:widowControl/>
              <w:snapToGrid w:val="0"/>
              <w:spacing w:line="300" w:lineRule="auto"/>
              <w:jc w:val="left"/>
              <w:rPr>
                <w:rFonts w:ascii="仿宋" w:hAnsi="仿宋" w:eastAsia="仿宋" w:cs="Calibri"/>
                <w:sz w:val="24"/>
              </w:rPr>
            </w:pPr>
            <w:r>
              <w:rPr>
                <w:rFonts w:hint="eastAsia" w:ascii="仿宋" w:hAnsi="仿宋" w:eastAsia="仿宋" w:cs="Calibri"/>
                <w:sz w:val="24"/>
              </w:rPr>
              <w:t>（5）安全防护用具配置齐全，检验合格。</w:t>
            </w:r>
          </w:p>
          <w:p w14:paraId="7E21ADA5">
            <w:pPr>
              <w:widowControl/>
              <w:snapToGrid w:val="0"/>
              <w:spacing w:line="300" w:lineRule="auto"/>
              <w:jc w:val="left"/>
              <w:rPr>
                <w:rFonts w:ascii="仿宋" w:hAnsi="仿宋" w:eastAsia="仿宋" w:cs="Calibri"/>
                <w:sz w:val="24"/>
              </w:rPr>
            </w:pPr>
            <w:r>
              <w:rPr>
                <w:rFonts w:hint="eastAsia" w:ascii="仿宋" w:hAnsi="仿宋" w:eastAsia="仿宋" w:cs="Calibri"/>
                <w:sz w:val="24"/>
              </w:rPr>
              <w:t>（6）应急设施设备用品应当齐全、完备，可随时启用。</w:t>
            </w:r>
          </w:p>
        </w:tc>
      </w:tr>
      <w:tr w14:paraId="0E02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restart"/>
            <w:shd w:val="clear" w:color="auto" w:fill="auto"/>
            <w:noWrap w:val="0"/>
            <w:vAlign w:val="center"/>
          </w:tcPr>
          <w:p w14:paraId="01D4DFC2">
            <w:pPr>
              <w:widowControl/>
              <w:snapToGrid w:val="0"/>
              <w:spacing w:line="300" w:lineRule="auto"/>
              <w:jc w:val="center"/>
              <w:rPr>
                <w:rFonts w:ascii="仿宋" w:hAnsi="仿宋" w:eastAsia="仿宋"/>
                <w:sz w:val="24"/>
              </w:rPr>
            </w:pPr>
            <w:r>
              <w:rPr>
                <w:rFonts w:hint="eastAsia" w:ascii="仿宋" w:hAnsi="仿宋" w:eastAsia="仿宋"/>
                <w:sz w:val="24"/>
              </w:rPr>
              <w:t>3</w:t>
            </w:r>
          </w:p>
        </w:tc>
        <w:tc>
          <w:tcPr>
            <w:tcW w:w="1315" w:type="dxa"/>
            <w:vMerge w:val="restart"/>
            <w:shd w:val="clear" w:color="auto" w:fill="auto"/>
            <w:noWrap w:val="0"/>
            <w:vAlign w:val="center"/>
          </w:tcPr>
          <w:p w14:paraId="0C3257BF">
            <w:pPr>
              <w:widowControl/>
              <w:snapToGrid w:val="0"/>
              <w:spacing w:line="300" w:lineRule="auto"/>
              <w:rPr>
                <w:rFonts w:ascii="仿宋" w:hAnsi="仿宋" w:eastAsia="仿宋"/>
                <w:sz w:val="24"/>
              </w:rPr>
            </w:pPr>
            <w:r>
              <w:rPr>
                <w:rFonts w:ascii="仿宋" w:hAnsi="仿宋" w:eastAsia="仿宋"/>
                <w:sz w:val="24"/>
              </w:rPr>
              <w:t>给排水系统</w:t>
            </w:r>
          </w:p>
        </w:tc>
        <w:tc>
          <w:tcPr>
            <w:tcW w:w="6425" w:type="dxa"/>
            <w:shd w:val="clear" w:color="auto" w:fill="auto"/>
            <w:noWrap w:val="0"/>
            <w:vAlign w:val="center"/>
          </w:tcPr>
          <w:p w14:paraId="6A7B5905">
            <w:pPr>
              <w:widowControl/>
              <w:snapToGrid w:val="0"/>
              <w:spacing w:line="300" w:lineRule="auto"/>
              <w:jc w:val="left"/>
              <w:rPr>
                <w:rFonts w:ascii="仿宋" w:hAnsi="仿宋" w:eastAsia="仿宋" w:cs="Calibri"/>
                <w:sz w:val="24"/>
              </w:rPr>
            </w:pPr>
            <w:r>
              <w:rPr>
                <w:rFonts w:hint="eastAsia" w:ascii="仿宋" w:hAnsi="仿宋" w:eastAsia="仿宋" w:cs="Calibri"/>
                <w:sz w:val="24"/>
              </w:rPr>
              <w:t>（1）生活饮用水卫生符合《</w:t>
            </w:r>
            <w:r>
              <w:rPr>
                <w:rFonts w:hint="eastAsia" w:ascii="仿宋" w:hAnsi="仿宋" w:eastAsia="仿宋"/>
                <w:sz w:val="24"/>
              </w:rPr>
              <w:t>生活饮用水卫生标准</w:t>
            </w:r>
            <w:r>
              <w:rPr>
                <w:rFonts w:hint="eastAsia" w:ascii="仿宋" w:hAnsi="仿宋" w:eastAsia="仿宋" w:cs="Calibri"/>
                <w:sz w:val="24"/>
              </w:rPr>
              <w:t>》（GB5749）的相关要求。</w:t>
            </w:r>
          </w:p>
        </w:tc>
      </w:tr>
      <w:tr w14:paraId="42B7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40F10E3C">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0204AEF2">
            <w:pPr>
              <w:widowControl/>
              <w:snapToGrid w:val="0"/>
              <w:spacing w:line="300" w:lineRule="auto"/>
              <w:rPr>
                <w:rFonts w:ascii="仿宋" w:hAnsi="仿宋" w:eastAsia="仿宋"/>
                <w:sz w:val="24"/>
              </w:rPr>
            </w:pPr>
          </w:p>
        </w:tc>
        <w:tc>
          <w:tcPr>
            <w:tcW w:w="6425" w:type="dxa"/>
            <w:shd w:val="clear" w:color="auto" w:fill="auto"/>
            <w:noWrap w:val="0"/>
            <w:vAlign w:val="center"/>
          </w:tcPr>
          <w:p w14:paraId="7A6B494B">
            <w:pPr>
              <w:widowControl/>
              <w:snapToGrid w:val="0"/>
              <w:spacing w:line="300" w:lineRule="auto"/>
              <w:jc w:val="left"/>
              <w:rPr>
                <w:rFonts w:ascii="仿宋" w:hAnsi="仿宋" w:eastAsia="仿宋" w:cs="Calibri"/>
                <w:sz w:val="24"/>
              </w:rPr>
            </w:pPr>
            <w:r>
              <w:rPr>
                <w:rFonts w:hint="eastAsia" w:ascii="仿宋" w:hAnsi="仿宋" w:eastAsia="仿宋" w:cs="Calibri"/>
                <w:sz w:val="24"/>
              </w:rPr>
              <w:t>（2）二次供水卫生符合《二次供水设施卫生规范》（GB17051）的相关要求。</w:t>
            </w:r>
          </w:p>
        </w:tc>
      </w:tr>
      <w:tr w14:paraId="3046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4AD50D57">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2FC25F3">
            <w:pPr>
              <w:widowControl/>
              <w:snapToGrid w:val="0"/>
              <w:spacing w:line="300" w:lineRule="auto"/>
              <w:rPr>
                <w:rFonts w:ascii="仿宋" w:hAnsi="仿宋" w:eastAsia="仿宋"/>
                <w:sz w:val="24"/>
              </w:rPr>
            </w:pPr>
          </w:p>
        </w:tc>
        <w:tc>
          <w:tcPr>
            <w:tcW w:w="6425" w:type="dxa"/>
            <w:shd w:val="clear" w:color="auto" w:fill="auto"/>
            <w:noWrap w:val="0"/>
            <w:vAlign w:val="center"/>
          </w:tcPr>
          <w:p w14:paraId="4E909BB8">
            <w:pPr>
              <w:widowControl/>
              <w:snapToGrid w:val="0"/>
              <w:spacing w:line="300" w:lineRule="auto"/>
              <w:jc w:val="left"/>
              <w:rPr>
                <w:rFonts w:ascii="仿宋" w:hAnsi="仿宋" w:eastAsia="仿宋" w:cs="Calibri"/>
                <w:sz w:val="24"/>
              </w:rPr>
            </w:pPr>
            <w:r>
              <w:rPr>
                <w:rFonts w:hint="eastAsia" w:ascii="仿宋" w:hAnsi="仿宋" w:eastAsia="仿宋" w:cs="Calibri"/>
                <w:sz w:val="24"/>
              </w:rPr>
              <w:t>（3）设施设备、阀门、管道等运行正常，无跑、冒、滴、漏现象。</w:t>
            </w:r>
          </w:p>
        </w:tc>
      </w:tr>
      <w:tr w14:paraId="25C3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65BE64FD">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291102C1">
            <w:pPr>
              <w:widowControl/>
              <w:snapToGrid w:val="0"/>
              <w:spacing w:line="300" w:lineRule="auto"/>
              <w:rPr>
                <w:rFonts w:ascii="仿宋" w:hAnsi="仿宋" w:eastAsia="仿宋"/>
                <w:sz w:val="24"/>
              </w:rPr>
            </w:pPr>
          </w:p>
        </w:tc>
        <w:tc>
          <w:tcPr>
            <w:tcW w:w="6425" w:type="dxa"/>
            <w:shd w:val="clear" w:color="auto" w:fill="auto"/>
            <w:noWrap w:val="0"/>
            <w:vAlign w:val="center"/>
          </w:tcPr>
          <w:p w14:paraId="794828A5">
            <w:pPr>
              <w:widowControl/>
              <w:snapToGrid w:val="0"/>
              <w:spacing w:line="300" w:lineRule="auto"/>
              <w:jc w:val="left"/>
              <w:rPr>
                <w:rFonts w:ascii="仿宋" w:hAnsi="仿宋" w:eastAsia="仿宋" w:cs="Calibri"/>
                <w:sz w:val="24"/>
              </w:rPr>
            </w:pPr>
            <w:r>
              <w:rPr>
                <w:rFonts w:hint="eastAsia" w:ascii="仿宋" w:hAnsi="仿宋" w:eastAsia="仿宋" w:cs="Calibri"/>
                <w:sz w:val="24"/>
              </w:rPr>
              <w:t>（4）有水泵房、水箱间的，每日至少巡视1次。每年至少养护</w:t>
            </w:r>
            <w:r>
              <w:rPr>
                <w:rFonts w:ascii="仿宋" w:hAnsi="仿宋" w:eastAsia="仿宋" w:cs="Calibri"/>
                <w:sz w:val="24"/>
              </w:rPr>
              <w:t>2</w:t>
            </w:r>
            <w:r>
              <w:rPr>
                <w:rFonts w:hint="eastAsia" w:ascii="仿宋" w:hAnsi="仿宋" w:eastAsia="仿宋" w:cs="Calibri"/>
                <w:sz w:val="24"/>
              </w:rPr>
              <w:t>次水泵。</w:t>
            </w:r>
          </w:p>
        </w:tc>
      </w:tr>
      <w:tr w14:paraId="5BB8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4BC989F9">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05AF8772">
            <w:pPr>
              <w:widowControl/>
              <w:snapToGrid w:val="0"/>
              <w:spacing w:line="300" w:lineRule="auto"/>
              <w:rPr>
                <w:rFonts w:ascii="仿宋" w:hAnsi="仿宋" w:eastAsia="仿宋"/>
                <w:sz w:val="24"/>
              </w:rPr>
            </w:pPr>
          </w:p>
        </w:tc>
        <w:tc>
          <w:tcPr>
            <w:tcW w:w="6425" w:type="dxa"/>
            <w:shd w:val="clear" w:color="auto" w:fill="auto"/>
            <w:noWrap w:val="0"/>
            <w:vAlign w:val="center"/>
          </w:tcPr>
          <w:p w14:paraId="58143F05">
            <w:pPr>
              <w:widowControl/>
              <w:snapToGrid w:val="0"/>
              <w:spacing w:line="300" w:lineRule="auto"/>
              <w:jc w:val="left"/>
              <w:rPr>
                <w:rFonts w:ascii="仿宋" w:hAnsi="仿宋" w:eastAsia="仿宋" w:cs="Calibri"/>
                <w:sz w:val="24"/>
              </w:rPr>
            </w:pPr>
            <w:r>
              <w:rPr>
                <w:rFonts w:hint="eastAsia" w:ascii="仿宋" w:hAnsi="仿宋" w:eastAsia="仿宋" w:cs="Calibri"/>
                <w:sz w:val="24"/>
              </w:rPr>
              <w:t>（5）遇供水单位限水、停水，按规定时间通知采购人。</w:t>
            </w:r>
          </w:p>
        </w:tc>
      </w:tr>
      <w:tr w14:paraId="6B38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84" w:type="dxa"/>
            <w:vMerge w:val="continue"/>
            <w:shd w:val="clear" w:color="auto" w:fill="auto"/>
            <w:noWrap w:val="0"/>
            <w:vAlign w:val="center"/>
          </w:tcPr>
          <w:p w14:paraId="26260928">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D272BB5">
            <w:pPr>
              <w:widowControl/>
              <w:snapToGrid w:val="0"/>
              <w:spacing w:line="300" w:lineRule="auto"/>
              <w:rPr>
                <w:rFonts w:ascii="仿宋" w:hAnsi="仿宋" w:eastAsia="仿宋"/>
                <w:sz w:val="24"/>
              </w:rPr>
            </w:pPr>
          </w:p>
        </w:tc>
        <w:tc>
          <w:tcPr>
            <w:tcW w:w="6425" w:type="dxa"/>
            <w:shd w:val="clear" w:color="auto" w:fill="auto"/>
            <w:noWrap w:val="0"/>
            <w:vAlign w:val="center"/>
          </w:tcPr>
          <w:p w14:paraId="5058822D">
            <w:pPr>
              <w:widowControl/>
              <w:snapToGrid w:val="0"/>
              <w:spacing w:line="300" w:lineRule="auto"/>
              <w:jc w:val="left"/>
              <w:rPr>
                <w:rFonts w:ascii="仿宋" w:hAnsi="仿宋" w:eastAsia="仿宋" w:cs="Calibri"/>
                <w:sz w:val="24"/>
              </w:rPr>
            </w:pPr>
            <w:r>
              <w:rPr>
                <w:rFonts w:hint="eastAsia" w:ascii="仿宋" w:hAnsi="仿宋" w:eastAsia="仿宋" w:cs="Calibri"/>
                <w:sz w:val="24"/>
              </w:rPr>
              <w:t>（6）每季度至少开展1次对排水管进行疏通、清污，保证室内外排水系统通畅。</w:t>
            </w:r>
          </w:p>
        </w:tc>
      </w:tr>
      <w:tr w14:paraId="5844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restart"/>
            <w:shd w:val="clear" w:color="auto" w:fill="auto"/>
            <w:noWrap w:val="0"/>
            <w:vAlign w:val="center"/>
          </w:tcPr>
          <w:p w14:paraId="00F5DA7D">
            <w:pPr>
              <w:widowControl/>
              <w:snapToGrid w:val="0"/>
              <w:spacing w:line="300" w:lineRule="auto"/>
              <w:jc w:val="center"/>
              <w:rPr>
                <w:rFonts w:ascii="仿宋" w:hAnsi="仿宋" w:eastAsia="仿宋"/>
                <w:sz w:val="24"/>
              </w:rPr>
            </w:pPr>
            <w:r>
              <w:rPr>
                <w:rFonts w:hint="eastAsia" w:ascii="仿宋" w:hAnsi="仿宋" w:eastAsia="仿宋"/>
                <w:sz w:val="24"/>
              </w:rPr>
              <w:t>4</w:t>
            </w:r>
          </w:p>
        </w:tc>
        <w:tc>
          <w:tcPr>
            <w:tcW w:w="1315" w:type="dxa"/>
            <w:vMerge w:val="restart"/>
            <w:shd w:val="clear" w:color="auto" w:fill="auto"/>
            <w:noWrap w:val="0"/>
            <w:vAlign w:val="center"/>
          </w:tcPr>
          <w:p w14:paraId="3CA870B4">
            <w:pPr>
              <w:widowControl/>
              <w:snapToGrid w:val="0"/>
              <w:spacing w:line="300" w:lineRule="auto"/>
              <w:rPr>
                <w:rFonts w:ascii="仿宋" w:hAnsi="仿宋" w:eastAsia="仿宋"/>
                <w:sz w:val="24"/>
              </w:rPr>
            </w:pPr>
            <w:r>
              <w:rPr>
                <w:rFonts w:hint="eastAsia" w:ascii="仿宋" w:hAnsi="仿宋" w:eastAsia="仿宋"/>
                <w:sz w:val="24"/>
              </w:rPr>
              <w:t>电梯系统</w:t>
            </w:r>
          </w:p>
        </w:tc>
        <w:tc>
          <w:tcPr>
            <w:tcW w:w="6425" w:type="dxa"/>
            <w:shd w:val="clear" w:color="auto" w:fill="auto"/>
            <w:noWrap w:val="0"/>
            <w:vAlign w:val="center"/>
          </w:tcPr>
          <w:p w14:paraId="11749628">
            <w:pPr>
              <w:widowControl/>
              <w:snapToGrid w:val="0"/>
              <w:spacing w:line="300" w:lineRule="auto"/>
              <w:ind w:firstLine="240" w:firstLineChars="100"/>
              <w:jc w:val="left"/>
              <w:rPr>
                <w:rFonts w:ascii="仿宋" w:hAnsi="仿宋" w:eastAsia="仿宋" w:cs="Calibri"/>
                <w:sz w:val="24"/>
              </w:rPr>
            </w:pPr>
            <w:r>
              <w:rPr>
                <w:rFonts w:hint="eastAsia" w:ascii="仿宋" w:hAnsi="仿宋" w:eastAsia="仿宋" w:cs="Calibri"/>
                <w:sz w:val="24"/>
              </w:rPr>
              <w:t>（1）电梯运行平稳、无异响、平层、开关正常。每周至少开展2次电梯的安全状况检查。</w:t>
            </w:r>
          </w:p>
        </w:tc>
      </w:tr>
      <w:tr w14:paraId="58F4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094C7834">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0A5886AF">
            <w:pPr>
              <w:widowControl/>
              <w:snapToGrid w:val="0"/>
              <w:spacing w:line="300" w:lineRule="auto"/>
              <w:rPr>
                <w:rFonts w:ascii="仿宋" w:hAnsi="仿宋" w:eastAsia="仿宋"/>
                <w:sz w:val="24"/>
              </w:rPr>
            </w:pPr>
          </w:p>
        </w:tc>
        <w:tc>
          <w:tcPr>
            <w:tcW w:w="6425" w:type="dxa"/>
            <w:shd w:val="clear" w:color="auto" w:fill="auto"/>
            <w:noWrap w:val="0"/>
            <w:vAlign w:val="center"/>
          </w:tcPr>
          <w:p w14:paraId="59BDEB36">
            <w:pPr>
              <w:widowControl/>
              <w:snapToGrid w:val="0"/>
              <w:spacing w:line="300" w:lineRule="auto"/>
              <w:jc w:val="left"/>
              <w:rPr>
                <w:rFonts w:ascii="仿宋" w:hAnsi="仿宋" w:eastAsia="仿宋" w:cs="Calibri"/>
                <w:sz w:val="24"/>
              </w:rPr>
            </w:pPr>
            <w:r>
              <w:rPr>
                <w:rFonts w:hint="eastAsia" w:ascii="仿宋" w:hAnsi="仿宋" w:eastAsia="仿宋" w:cs="Calibri"/>
                <w:sz w:val="24"/>
              </w:rPr>
              <w:t>（2）电梯准用证、年检合格证等证件齐全。相关证件、紧急救援电话和乘客注意事项置于轿厢醒目位置。</w:t>
            </w:r>
          </w:p>
        </w:tc>
      </w:tr>
      <w:tr w14:paraId="5B20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2D5A8E5A">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8578EA2">
            <w:pPr>
              <w:widowControl/>
              <w:snapToGrid w:val="0"/>
              <w:spacing w:line="300" w:lineRule="auto"/>
              <w:rPr>
                <w:rFonts w:ascii="仿宋" w:hAnsi="仿宋" w:eastAsia="仿宋"/>
                <w:sz w:val="24"/>
              </w:rPr>
            </w:pPr>
          </w:p>
        </w:tc>
        <w:tc>
          <w:tcPr>
            <w:tcW w:w="6425" w:type="dxa"/>
            <w:shd w:val="clear" w:color="auto" w:fill="auto"/>
            <w:noWrap w:val="0"/>
            <w:vAlign w:val="center"/>
          </w:tcPr>
          <w:p w14:paraId="405AAC9A">
            <w:pPr>
              <w:widowControl/>
              <w:snapToGrid w:val="0"/>
              <w:spacing w:line="300" w:lineRule="auto"/>
              <w:jc w:val="left"/>
              <w:rPr>
                <w:rFonts w:ascii="仿宋" w:hAnsi="仿宋" w:eastAsia="仿宋" w:cs="Calibri"/>
                <w:sz w:val="24"/>
              </w:rPr>
            </w:pPr>
            <w:r>
              <w:rPr>
                <w:rFonts w:hint="eastAsia" w:ascii="仿宋" w:hAnsi="仿宋" w:eastAsia="仿宋" w:cs="Calibri"/>
                <w:sz w:val="24"/>
              </w:rPr>
              <w:t>（3）每年至少开展1次对电梯的全面检测，并出具检测报告，核发电梯使用标志。</w:t>
            </w:r>
          </w:p>
        </w:tc>
      </w:tr>
      <w:tr w14:paraId="7C7B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0F48CB2B">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FE7CAC8">
            <w:pPr>
              <w:widowControl/>
              <w:snapToGrid w:val="0"/>
              <w:spacing w:line="300" w:lineRule="auto"/>
              <w:rPr>
                <w:rFonts w:ascii="仿宋" w:hAnsi="仿宋" w:eastAsia="仿宋"/>
                <w:sz w:val="24"/>
              </w:rPr>
            </w:pPr>
          </w:p>
        </w:tc>
        <w:tc>
          <w:tcPr>
            <w:tcW w:w="6425" w:type="dxa"/>
            <w:shd w:val="clear" w:color="auto" w:fill="auto"/>
            <w:noWrap w:val="0"/>
            <w:vAlign w:val="center"/>
          </w:tcPr>
          <w:p w14:paraId="74EAB072">
            <w:pPr>
              <w:widowControl/>
              <w:snapToGrid w:val="0"/>
              <w:spacing w:line="300" w:lineRule="auto"/>
              <w:jc w:val="left"/>
              <w:rPr>
                <w:rFonts w:ascii="仿宋" w:hAnsi="仿宋" w:eastAsia="仿宋" w:cs="Calibri"/>
                <w:sz w:val="24"/>
              </w:rPr>
            </w:pPr>
            <w:r>
              <w:rPr>
                <w:rFonts w:hint="eastAsia" w:ascii="仿宋" w:hAnsi="仿宋" w:eastAsia="仿宋" w:cs="Calibri"/>
                <w:sz w:val="24"/>
              </w:rPr>
              <w:t>（4）电梯维保应当符合《电梯维护保养规则》（TSG T5002）的有关要求。</w:t>
            </w:r>
          </w:p>
        </w:tc>
      </w:tr>
      <w:tr w14:paraId="26B1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06FB2FDB">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206904EF">
            <w:pPr>
              <w:widowControl/>
              <w:snapToGrid w:val="0"/>
              <w:spacing w:line="300" w:lineRule="auto"/>
              <w:rPr>
                <w:rFonts w:ascii="仿宋" w:hAnsi="仿宋" w:eastAsia="仿宋"/>
                <w:sz w:val="24"/>
              </w:rPr>
            </w:pPr>
          </w:p>
        </w:tc>
        <w:tc>
          <w:tcPr>
            <w:tcW w:w="6425" w:type="dxa"/>
            <w:shd w:val="clear" w:color="auto" w:fill="auto"/>
            <w:noWrap w:val="0"/>
            <w:vAlign w:val="center"/>
          </w:tcPr>
          <w:p w14:paraId="4F0C3EF9">
            <w:pPr>
              <w:widowControl/>
              <w:snapToGrid w:val="0"/>
              <w:spacing w:line="300" w:lineRule="auto"/>
              <w:jc w:val="left"/>
              <w:rPr>
                <w:rFonts w:ascii="仿宋" w:hAnsi="仿宋" w:eastAsia="仿宋" w:cs="Calibri"/>
                <w:sz w:val="24"/>
              </w:rPr>
            </w:pPr>
            <w:r>
              <w:rPr>
                <w:rFonts w:hint="eastAsia" w:ascii="仿宋" w:hAnsi="仿宋" w:eastAsia="仿宋" w:cs="Calibri"/>
                <w:sz w:val="24"/>
              </w:rPr>
              <w:t>（5）电梯使用应当符合《特种设备使用管理规则》（TSG 08）的有关要求。</w:t>
            </w:r>
          </w:p>
        </w:tc>
      </w:tr>
      <w:tr w14:paraId="1249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21DD7044">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5FD431EE">
            <w:pPr>
              <w:widowControl/>
              <w:snapToGrid w:val="0"/>
              <w:spacing w:line="300" w:lineRule="auto"/>
              <w:rPr>
                <w:rFonts w:ascii="仿宋" w:hAnsi="仿宋" w:eastAsia="仿宋"/>
                <w:sz w:val="24"/>
              </w:rPr>
            </w:pPr>
          </w:p>
        </w:tc>
        <w:tc>
          <w:tcPr>
            <w:tcW w:w="6425" w:type="dxa"/>
            <w:shd w:val="clear" w:color="auto" w:fill="auto"/>
            <w:noWrap w:val="0"/>
            <w:vAlign w:val="center"/>
          </w:tcPr>
          <w:p w14:paraId="6DF0AFA0">
            <w:pPr>
              <w:widowControl/>
              <w:snapToGrid w:val="0"/>
              <w:spacing w:line="300" w:lineRule="auto"/>
              <w:jc w:val="left"/>
              <w:rPr>
                <w:rFonts w:ascii="仿宋" w:hAnsi="仿宋" w:eastAsia="仿宋" w:cs="Calibri"/>
                <w:sz w:val="24"/>
              </w:rPr>
            </w:pPr>
            <w:r>
              <w:rPr>
                <w:rFonts w:hint="eastAsia" w:ascii="仿宋" w:hAnsi="仿宋" w:eastAsia="仿宋" w:cs="Calibri"/>
                <w:sz w:val="24"/>
              </w:rPr>
              <w:t>（6）有电梯突发事件或事故的应急措施与救援预案，每年至少开展演练1次。电梯出现故障，物业服务人员10分钟内到场应急处理，维保专业人员30分钟内到场应急处理。</w:t>
            </w:r>
          </w:p>
        </w:tc>
      </w:tr>
      <w:tr w14:paraId="3279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458E3AE4">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AD9F85A">
            <w:pPr>
              <w:widowControl/>
              <w:snapToGrid w:val="0"/>
              <w:spacing w:line="300" w:lineRule="auto"/>
              <w:rPr>
                <w:rFonts w:ascii="仿宋" w:hAnsi="仿宋" w:eastAsia="仿宋"/>
                <w:sz w:val="24"/>
              </w:rPr>
            </w:pPr>
          </w:p>
        </w:tc>
        <w:tc>
          <w:tcPr>
            <w:tcW w:w="6425" w:type="dxa"/>
            <w:shd w:val="clear" w:color="auto" w:fill="auto"/>
            <w:noWrap w:val="0"/>
            <w:vAlign w:val="center"/>
          </w:tcPr>
          <w:p w14:paraId="5A059D1E">
            <w:pPr>
              <w:widowControl/>
              <w:snapToGrid w:val="0"/>
              <w:spacing w:line="300" w:lineRule="auto"/>
              <w:jc w:val="left"/>
              <w:rPr>
                <w:rFonts w:ascii="仿宋" w:hAnsi="仿宋" w:eastAsia="仿宋" w:cs="Calibri"/>
                <w:sz w:val="24"/>
              </w:rPr>
            </w:pPr>
            <w:r>
              <w:rPr>
                <w:rFonts w:hint="eastAsia" w:ascii="仿宋" w:hAnsi="仿宋" w:eastAsia="仿宋" w:cs="Calibri"/>
                <w:sz w:val="24"/>
              </w:rPr>
              <w:t>（7）到场进行救助和排除故障。电梯紧急电话保持畅通。</w:t>
            </w:r>
          </w:p>
        </w:tc>
      </w:tr>
      <w:tr w14:paraId="26D7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1E38E3ED">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039D6505">
            <w:pPr>
              <w:widowControl/>
              <w:snapToGrid w:val="0"/>
              <w:spacing w:line="300" w:lineRule="auto"/>
              <w:rPr>
                <w:rFonts w:ascii="仿宋" w:hAnsi="仿宋" w:eastAsia="仿宋"/>
                <w:sz w:val="24"/>
              </w:rPr>
            </w:pPr>
          </w:p>
        </w:tc>
        <w:tc>
          <w:tcPr>
            <w:tcW w:w="6425" w:type="dxa"/>
            <w:shd w:val="clear" w:color="auto" w:fill="auto"/>
            <w:noWrap w:val="0"/>
            <w:vAlign w:val="center"/>
          </w:tcPr>
          <w:p w14:paraId="4C785D40">
            <w:pPr>
              <w:widowControl/>
              <w:snapToGrid w:val="0"/>
              <w:spacing w:line="300" w:lineRule="auto"/>
              <w:jc w:val="left"/>
              <w:rPr>
                <w:rFonts w:ascii="仿宋" w:hAnsi="仿宋" w:eastAsia="仿宋" w:cs="Calibri"/>
                <w:sz w:val="24"/>
              </w:rPr>
            </w:pPr>
            <w:r>
              <w:rPr>
                <w:rFonts w:hint="eastAsia" w:ascii="仿宋" w:hAnsi="仿宋" w:eastAsia="仿宋" w:cs="Calibri"/>
                <w:sz w:val="24"/>
              </w:rPr>
              <w:t>（8）电梯维修、保养时在现场设置提示标识和防护围栏。</w:t>
            </w:r>
          </w:p>
        </w:tc>
      </w:tr>
      <w:tr w14:paraId="71BA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84" w:type="dxa"/>
            <w:vMerge w:val="continue"/>
            <w:shd w:val="clear" w:color="auto" w:fill="auto"/>
            <w:noWrap w:val="0"/>
            <w:vAlign w:val="center"/>
          </w:tcPr>
          <w:p w14:paraId="5FB84B52">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F268F92">
            <w:pPr>
              <w:widowControl/>
              <w:snapToGrid w:val="0"/>
              <w:spacing w:line="300" w:lineRule="auto"/>
              <w:rPr>
                <w:rFonts w:ascii="仿宋" w:hAnsi="仿宋" w:eastAsia="仿宋"/>
                <w:sz w:val="24"/>
              </w:rPr>
            </w:pPr>
          </w:p>
        </w:tc>
        <w:tc>
          <w:tcPr>
            <w:tcW w:w="6425" w:type="dxa"/>
            <w:shd w:val="clear" w:color="auto" w:fill="auto"/>
            <w:noWrap w:val="0"/>
            <w:vAlign w:val="center"/>
          </w:tcPr>
          <w:p w14:paraId="00E6CA97">
            <w:pPr>
              <w:widowControl/>
              <w:snapToGrid w:val="0"/>
              <w:spacing w:line="300" w:lineRule="auto"/>
              <w:jc w:val="left"/>
              <w:rPr>
                <w:rFonts w:ascii="仿宋" w:hAnsi="仿宋" w:eastAsia="仿宋" w:cs="Calibri"/>
                <w:sz w:val="24"/>
              </w:rPr>
            </w:pPr>
            <w:r>
              <w:rPr>
                <w:rFonts w:hint="eastAsia" w:ascii="仿宋" w:hAnsi="仿宋" w:eastAsia="仿宋" w:cs="Calibri"/>
                <w:sz w:val="24"/>
              </w:rPr>
              <w:t>（9）根据采购人需求，合理设置电梯开启的数量、时间。</w:t>
            </w:r>
          </w:p>
        </w:tc>
      </w:tr>
      <w:tr w14:paraId="6746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shd w:val="clear" w:color="auto" w:fill="auto"/>
            <w:noWrap w:val="0"/>
            <w:vAlign w:val="center"/>
          </w:tcPr>
          <w:p w14:paraId="03040110">
            <w:pPr>
              <w:widowControl/>
              <w:snapToGrid w:val="0"/>
              <w:spacing w:line="300" w:lineRule="auto"/>
              <w:jc w:val="center"/>
              <w:rPr>
                <w:rFonts w:ascii="仿宋" w:hAnsi="仿宋" w:eastAsia="仿宋"/>
                <w:sz w:val="24"/>
              </w:rPr>
            </w:pPr>
            <w:r>
              <w:rPr>
                <w:rFonts w:hint="eastAsia" w:ascii="仿宋" w:hAnsi="仿宋" w:eastAsia="仿宋"/>
                <w:sz w:val="24"/>
              </w:rPr>
              <w:t>6</w:t>
            </w:r>
          </w:p>
        </w:tc>
        <w:tc>
          <w:tcPr>
            <w:tcW w:w="1315" w:type="dxa"/>
            <w:shd w:val="clear" w:color="auto" w:fill="auto"/>
            <w:noWrap w:val="0"/>
            <w:vAlign w:val="center"/>
          </w:tcPr>
          <w:p w14:paraId="6213E506">
            <w:pPr>
              <w:widowControl/>
              <w:snapToGrid w:val="0"/>
              <w:spacing w:line="300" w:lineRule="auto"/>
              <w:rPr>
                <w:rFonts w:ascii="仿宋" w:hAnsi="仿宋" w:eastAsia="仿宋"/>
                <w:sz w:val="24"/>
              </w:rPr>
            </w:pPr>
            <w:r>
              <w:rPr>
                <w:rFonts w:ascii="仿宋" w:hAnsi="仿宋" w:eastAsia="仿宋"/>
                <w:sz w:val="24"/>
              </w:rPr>
              <w:t>消防系统</w:t>
            </w:r>
          </w:p>
        </w:tc>
        <w:tc>
          <w:tcPr>
            <w:tcW w:w="6425" w:type="dxa"/>
            <w:shd w:val="clear" w:color="auto" w:fill="auto"/>
            <w:noWrap w:val="0"/>
            <w:vAlign w:val="center"/>
          </w:tcPr>
          <w:p w14:paraId="6B3AEA15">
            <w:pPr>
              <w:widowControl/>
              <w:snapToGrid w:val="0"/>
              <w:spacing w:line="300" w:lineRule="auto"/>
              <w:jc w:val="left"/>
              <w:rPr>
                <w:rFonts w:ascii="仿宋" w:hAnsi="仿宋" w:eastAsia="仿宋" w:cs="Calibri"/>
                <w:sz w:val="24"/>
              </w:rPr>
            </w:pPr>
            <w:r>
              <w:rPr>
                <w:rFonts w:hint="eastAsia" w:ascii="仿宋" w:hAnsi="仿宋" w:eastAsia="仿宋" w:cs="Calibri"/>
                <w:sz w:val="24"/>
              </w:rPr>
              <w:t>协助学校管理单位做好消防相关工作</w:t>
            </w:r>
          </w:p>
        </w:tc>
      </w:tr>
      <w:tr w14:paraId="06A8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restart"/>
            <w:shd w:val="clear" w:color="auto" w:fill="auto"/>
            <w:noWrap w:val="0"/>
            <w:vAlign w:val="center"/>
          </w:tcPr>
          <w:p w14:paraId="34A6CB69">
            <w:pPr>
              <w:widowControl/>
              <w:snapToGrid w:val="0"/>
              <w:spacing w:line="300" w:lineRule="auto"/>
              <w:jc w:val="center"/>
              <w:rPr>
                <w:rFonts w:ascii="仿宋" w:hAnsi="仿宋" w:eastAsia="仿宋"/>
                <w:sz w:val="24"/>
              </w:rPr>
            </w:pPr>
            <w:r>
              <w:rPr>
                <w:rFonts w:hint="eastAsia" w:ascii="仿宋" w:hAnsi="仿宋" w:eastAsia="仿宋"/>
                <w:sz w:val="24"/>
              </w:rPr>
              <w:t>7</w:t>
            </w:r>
          </w:p>
        </w:tc>
        <w:tc>
          <w:tcPr>
            <w:tcW w:w="1315" w:type="dxa"/>
            <w:vMerge w:val="restart"/>
            <w:shd w:val="clear" w:color="auto" w:fill="auto"/>
            <w:noWrap w:val="0"/>
            <w:vAlign w:val="center"/>
          </w:tcPr>
          <w:p w14:paraId="68196355">
            <w:pPr>
              <w:widowControl/>
              <w:snapToGrid w:val="0"/>
              <w:spacing w:line="300" w:lineRule="auto"/>
              <w:rPr>
                <w:rFonts w:ascii="仿宋" w:hAnsi="仿宋" w:eastAsia="仿宋"/>
                <w:sz w:val="24"/>
              </w:rPr>
            </w:pPr>
            <w:r>
              <w:rPr>
                <w:rFonts w:ascii="仿宋" w:hAnsi="仿宋" w:eastAsia="仿宋"/>
                <w:sz w:val="24"/>
              </w:rPr>
              <w:t>供配电系统</w:t>
            </w:r>
          </w:p>
        </w:tc>
        <w:tc>
          <w:tcPr>
            <w:tcW w:w="6425" w:type="dxa"/>
            <w:shd w:val="clear" w:color="auto" w:fill="auto"/>
            <w:noWrap w:val="0"/>
            <w:vAlign w:val="center"/>
          </w:tcPr>
          <w:p w14:paraId="1313D05B">
            <w:pPr>
              <w:spacing w:line="360" w:lineRule="auto"/>
              <w:rPr>
                <w:rFonts w:ascii="仿宋" w:hAnsi="仿宋" w:eastAsia="仿宋" w:cs="仿宋"/>
                <w:sz w:val="24"/>
              </w:rPr>
            </w:pPr>
            <w:r>
              <w:rPr>
                <w:rFonts w:hint="eastAsia" w:ascii="仿宋" w:hAnsi="仿宋" w:eastAsia="仿宋" w:cs="Calibri"/>
                <w:sz w:val="24"/>
              </w:rPr>
              <w:t>（1）建立24小时运行值班监控制度，出现故障10分钟到达现场处理。</w:t>
            </w:r>
          </w:p>
        </w:tc>
      </w:tr>
      <w:tr w14:paraId="349D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3C0C6C39">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61566A3D">
            <w:pPr>
              <w:widowControl/>
              <w:snapToGrid w:val="0"/>
              <w:spacing w:line="300" w:lineRule="auto"/>
              <w:rPr>
                <w:rFonts w:ascii="仿宋" w:hAnsi="仿宋" w:eastAsia="仿宋"/>
                <w:sz w:val="24"/>
              </w:rPr>
            </w:pPr>
          </w:p>
        </w:tc>
        <w:tc>
          <w:tcPr>
            <w:tcW w:w="6425" w:type="dxa"/>
            <w:shd w:val="clear" w:color="auto" w:fill="auto"/>
            <w:noWrap w:val="0"/>
            <w:vAlign w:val="center"/>
          </w:tcPr>
          <w:p w14:paraId="7D8A396F">
            <w:pPr>
              <w:widowControl/>
              <w:snapToGrid w:val="0"/>
              <w:spacing w:line="300" w:lineRule="auto"/>
              <w:ind w:firstLine="240" w:firstLineChars="100"/>
              <w:jc w:val="left"/>
              <w:rPr>
                <w:rFonts w:ascii="仿宋" w:hAnsi="仿宋" w:eastAsia="仿宋" w:cs="Calibri"/>
                <w:sz w:val="24"/>
              </w:rPr>
            </w:pPr>
            <w:r>
              <w:rPr>
                <w:rFonts w:hint="eastAsia" w:ascii="仿宋" w:hAnsi="仿宋" w:eastAsia="仿宋" w:cs="Calibri"/>
                <w:sz w:val="24"/>
              </w:rPr>
              <w:t>2）对供电范围内的电气设备定期巡视维护，加强高低压配电柜、配电箱、控制柜及线路等重点部位监测。</w:t>
            </w:r>
          </w:p>
        </w:tc>
      </w:tr>
      <w:tr w14:paraId="73A4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6E3644F2">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733D2BC4">
            <w:pPr>
              <w:widowControl/>
              <w:snapToGrid w:val="0"/>
              <w:spacing w:line="300" w:lineRule="auto"/>
              <w:rPr>
                <w:rFonts w:ascii="仿宋" w:hAnsi="仿宋" w:eastAsia="仿宋"/>
                <w:sz w:val="24"/>
              </w:rPr>
            </w:pPr>
          </w:p>
        </w:tc>
        <w:tc>
          <w:tcPr>
            <w:tcW w:w="6425" w:type="dxa"/>
            <w:shd w:val="clear" w:color="auto" w:fill="auto"/>
            <w:noWrap w:val="0"/>
            <w:vAlign w:val="center"/>
          </w:tcPr>
          <w:p w14:paraId="4642C547">
            <w:pPr>
              <w:widowControl/>
              <w:snapToGrid w:val="0"/>
              <w:spacing w:line="300" w:lineRule="auto"/>
              <w:jc w:val="left"/>
              <w:rPr>
                <w:rFonts w:ascii="仿宋" w:hAnsi="仿宋" w:eastAsia="仿宋" w:cs="Calibri"/>
                <w:sz w:val="24"/>
              </w:rPr>
            </w:pPr>
            <w:r>
              <w:rPr>
                <w:rFonts w:hint="eastAsia" w:ascii="仿宋" w:hAnsi="仿宋" w:eastAsia="仿宋" w:cs="Calibri"/>
                <w:sz w:val="24"/>
              </w:rPr>
              <w:t>（3）公共使用的照明、指示灯具线路、开关、接地等保持完好，确保用电安全。</w:t>
            </w:r>
          </w:p>
        </w:tc>
      </w:tr>
      <w:tr w14:paraId="672B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5814988A">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A170E2E">
            <w:pPr>
              <w:widowControl/>
              <w:snapToGrid w:val="0"/>
              <w:spacing w:line="300" w:lineRule="auto"/>
              <w:rPr>
                <w:rFonts w:ascii="仿宋" w:hAnsi="仿宋" w:eastAsia="仿宋"/>
                <w:sz w:val="24"/>
              </w:rPr>
            </w:pPr>
          </w:p>
        </w:tc>
        <w:tc>
          <w:tcPr>
            <w:tcW w:w="6425" w:type="dxa"/>
            <w:shd w:val="clear" w:color="auto" w:fill="auto"/>
            <w:noWrap w:val="0"/>
            <w:vAlign w:val="center"/>
          </w:tcPr>
          <w:p w14:paraId="731475E1">
            <w:pPr>
              <w:widowControl/>
              <w:snapToGrid w:val="0"/>
              <w:spacing w:line="300" w:lineRule="auto"/>
              <w:jc w:val="left"/>
              <w:rPr>
                <w:rFonts w:ascii="仿宋" w:hAnsi="仿宋" w:eastAsia="仿宋" w:cs="Calibri"/>
                <w:sz w:val="24"/>
              </w:rPr>
            </w:pPr>
            <w:r>
              <w:rPr>
                <w:rFonts w:hint="eastAsia" w:ascii="仿宋" w:hAnsi="仿宋" w:eastAsia="仿宋" w:cs="Calibri"/>
                <w:sz w:val="24"/>
              </w:rPr>
              <w:t>（4）核心部位用电建立高可控用电保障和配备应急发电设备，定期维护应急发电设备。</w:t>
            </w:r>
          </w:p>
        </w:tc>
      </w:tr>
      <w:tr w14:paraId="6150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351EBE35">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A0862FC">
            <w:pPr>
              <w:widowControl/>
              <w:snapToGrid w:val="0"/>
              <w:spacing w:line="300" w:lineRule="auto"/>
              <w:rPr>
                <w:rFonts w:ascii="仿宋" w:hAnsi="仿宋" w:eastAsia="仿宋"/>
                <w:sz w:val="24"/>
              </w:rPr>
            </w:pPr>
          </w:p>
        </w:tc>
        <w:tc>
          <w:tcPr>
            <w:tcW w:w="6425" w:type="dxa"/>
            <w:shd w:val="clear" w:color="auto" w:fill="auto"/>
            <w:noWrap w:val="0"/>
            <w:vAlign w:val="center"/>
          </w:tcPr>
          <w:p w14:paraId="6057E1B1">
            <w:pPr>
              <w:widowControl/>
              <w:snapToGrid w:val="0"/>
              <w:spacing w:line="300" w:lineRule="auto"/>
              <w:jc w:val="left"/>
              <w:rPr>
                <w:rFonts w:ascii="仿宋" w:hAnsi="仿宋" w:eastAsia="仿宋" w:cs="Calibri"/>
                <w:sz w:val="24"/>
              </w:rPr>
            </w:pPr>
            <w:r>
              <w:rPr>
                <w:rFonts w:hint="eastAsia" w:ascii="仿宋" w:hAnsi="仿宋" w:eastAsia="仿宋" w:cs="Calibri"/>
                <w:sz w:val="24"/>
              </w:rPr>
              <w:t>（5）发生非计划性停电的，应当在事件发生后及时通知采购人，快速恢复或启用应急电源，并做好应急事件上报及处理工作。</w:t>
            </w:r>
          </w:p>
        </w:tc>
      </w:tr>
      <w:tr w14:paraId="7392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84" w:type="dxa"/>
            <w:vMerge w:val="continue"/>
            <w:shd w:val="clear" w:color="auto" w:fill="auto"/>
            <w:noWrap w:val="0"/>
            <w:vAlign w:val="center"/>
          </w:tcPr>
          <w:p w14:paraId="60808B8D">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5AAF7AC9">
            <w:pPr>
              <w:widowControl/>
              <w:snapToGrid w:val="0"/>
              <w:spacing w:line="300" w:lineRule="auto"/>
              <w:rPr>
                <w:rFonts w:ascii="仿宋" w:hAnsi="仿宋" w:eastAsia="仿宋"/>
                <w:sz w:val="24"/>
              </w:rPr>
            </w:pPr>
          </w:p>
        </w:tc>
        <w:tc>
          <w:tcPr>
            <w:tcW w:w="6425" w:type="dxa"/>
            <w:shd w:val="clear" w:color="auto" w:fill="auto"/>
            <w:noWrap w:val="0"/>
            <w:vAlign w:val="center"/>
          </w:tcPr>
          <w:p w14:paraId="6DF61C58">
            <w:pPr>
              <w:widowControl/>
              <w:snapToGrid w:val="0"/>
              <w:spacing w:line="300" w:lineRule="auto"/>
              <w:jc w:val="left"/>
              <w:rPr>
                <w:rFonts w:ascii="仿宋" w:hAnsi="仿宋" w:eastAsia="仿宋" w:cs="Calibri"/>
                <w:sz w:val="24"/>
              </w:rPr>
            </w:pPr>
            <w:r>
              <w:rPr>
                <w:rFonts w:hint="eastAsia" w:ascii="仿宋" w:hAnsi="仿宋" w:eastAsia="仿宋" w:cs="Calibri"/>
                <w:sz w:val="24"/>
              </w:rPr>
              <w:t>（6）复杂故障涉及供电部门维修处置的及时与供电部门联系，并向采购人报告。</w:t>
            </w:r>
          </w:p>
        </w:tc>
      </w:tr>
      <w:tr w14:paraId="7792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84" w:type="dxa"/>
            <w:shd w:val="clear" w:color="auto" w:fill="auto"/>
            <w:noWrap w:val="0"/>
            <w:vAlign w:val="center"/>
          </w:tcPr>
          <w:p w14:paraId="22638304">
            <w:pPr>
              <w:widowControl/>
              <w:snapToGrid w:val="0"/>
              <w:spacing w:line="300" w:lineRule="auto"/>
              <w:jc w:val="center"/>
              <w:rPr>
                <w:rFonts w:ascii="仿宋" w:hAnsi="仿宋" w:eastAsia="仿宋" w:cs="Calibri"/>
                <w:sz w:val="24"/>
              </w:rPr>
            </w:pPr>
            <w:r>
              <w:rPr>
                <w:rFonts w:hint="eastAsia" w:ascii="仿宋" w:hAnsi="仿宋" w:eastAsia="仿宋" w:cs="Calibri"/>
                <w:sz w:val="24"/>
              </w:rPr>
              <w:t>8</w:t>
            </w:r>
          </w:p>
        </w:tc>
        <w:tc>
          <w:tcPr>
            <w:tcW w:w="1315" w:type="dxa"/>
            <w:shd w:val="clear" w:color="auto" w:fill="auto"/>
            <w:noWrap w:val="0"/>
            <w:vAlign w:val="center"/>
          </w:tcPr>
          <w:p w14:paraId="06779F94">
            <w:pPr>
              <w:widowControl/>
              <w:snapToGrid w:val="0"/>
              <w:spacing w:line="300" w:lineRule="auto"/>
              <w:rPr>
                <w:rFonts w:ascii="仿宋" w:hAnsi="仿宋" w:eastAsia="仿宋" w:cs="Calibri"/>
                <w:sz w:val="24"/>
              </w:rPr>
            </w:pPr>
            <w:r>
              <w:rPr>
                <w:rFonts w:ascii="仿宋" w:hAnsi="仿宋" w:eastAsia="仿宋" w:cs="Calibri"/>
                <w:sz w:val="24"/>
              </w:rPr>
              <w:t>弱电系统</w:t>
            </w:r>
          </w:p>
        </w:tc>
        <w:tc>
          <w:tcPr>
            <w:tcW w:w="6425" w:type="dxa"/>
            <w:shd w:val="clear" w:color="auto" w:fill="auto"/>
            <w:noWrap w:val="0"/>
            <w:vAlign w:val="center"/>
          </w:tcPr>
          <w:p w14:paraId="2489989A">
            <w:pPr>
              <w:widowControl/>
              <w:snapToGrid w:val="0"/>
              <w:spacing w:line="300" w:lineRule="auto"/>
              <w:jc w:val="left"/>
              <w:rPr>
                <w:rFonts w:ascii="仿宋" w:hAnsi="仿宋" w:eastAsia="仿宋" w:cs="Calibri"/>
                <w:sz w:val="24"/>
              </w:rPr>
            </w:pPr>
            <w:r>
              <w:rPr>
                <w:rFonts w:hint="eastAsia" w:ascii="仿宋" w:hAnsi="仿宋" w:eastAsia="仿宋" w:cs="Calibri"/>
                <w:sz w:val="24"/>
              </w:rPr>
              <w:t>协助学校管理单位做好管理工作</w:t>
            </w:r>
          </w:p>
        </w:tc>
      </w:tr>
      <w:tr w14:paraId="4858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restart"/>
            <w:shd w:val="clear" w:color="auto" w:fill="auto"/>
            <w:noWrap w:val="0"/>
            <w:vAlign w:val="center"/>
          </w:tcPr>
          <w:p w14:paraId="61A69887">
            <w:pPr>
              <w:widowControl/>
              <w:snapToGrid w:val="0"/>
              <w:spacing w:line="300" w:lineRule="auto"/>
              <w:jc w:val="center"/>
              <w:rPr>
                <w:rFonts w:ascii="仿宋" w:hAnsi="仿宋" w:eastAsia="仿宋"/>
                <w:sz w:val="24"/>
              </w:rPr>
            </w:pPr>
            <w:r>
              <w:rPr>
                <w:rFonts w:hint="eastAsia" w:ascii="仿宋" w:hAnsi="仿宋" w:eastAsia="仿宋"/>
                <w:sz w:val="24"/>
              </w:rPr>
              <w:t>9</w:t>
            </w:r>
          </w:p>
        </w:tc>
        <w:tc>
          <w:tcPr>
            <w:tcW w:w="1315" w:type="dxa"/>
            <w:vMerge w:val="restart"/>
            <w:shd w:val="clear" w:color="auto" w:fill="auto"/>
            <w:noWrap w:val="0"/>
            <w:vAlign w:val="center"/>
          </w:tcPr>
          <w:p w14:paraId="73419E84">
            <w:pPr>
              <w:widowControl/>
              <w:snapToGrid w:val="0"/>
              <w:spacing w:line="300" w:lineRule="auto"/>
              <w:rPr>
                <w:rFonts w:ascii="仿宋" w:hAnsi="仿宋" w:eastAsia="仿宋"/>
                <w:sz w:val="24"/>
              </w:rPr>
            </w:pPr>
            <w:r>
              <w:rPr>
                <w:rFonts w:ascii="仿宋" w:hAnsi="仿宋" w:eastAsia="仿宋"/>
                <w:sz w:val="24"/>
              </w:rPr>
              <w:t>照明系统</w:t>
            </w:r>
          </w:p>
        </w:tc>
        <w:tc>
          <w:tcPr>
            <w:tcW w:w="6425" w:type="dxa"/>
            <w:shd w:val="clear" w:color="auto" w:fill="auto"/>
            <w:noWrap w:val="0"/>
            <w:vAlign w:val="center"/>
          </w:tcPr>
          <w:p w14:paraId="4015630E">
            <w:pPr>
              <w:widowControl/>
              <w:snapToGrid w:val="0"/>
              <w:spacing w:line="300" w:lineRule="auto"/>
              <w:jc w:val="left"/>
              <w:rPr>
                <w:rFonts w:ascii="仿宋" w:hAnsi="仿宋" w:eastAsia="仿宋" w:cs="Calibri"/>
                <w:sz w:val="24"/>
              </w:rPr>
            </w:pPr>
            <w:r>
              <w:rPr>
                <w:rFonts w:hint="eastAsia" w:ascii="仿宋" w:hAnsi="仿宋" w:eastAsia="仿宋" w:cs="Calibri"/>
                <w:sz w:val="24"/>
              </w:rPr>
              <w:t>（1）外观整洁无缺损、无松落。</w:t>
            </w:r>
          </w:p>
        </w:tc>
      </w:tr>
      <w:tr w14:paraId="467A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7C895C3A">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1AA9166A">
            <w:pPr>
              <w:widowControl/>
              <w:snapToGrid w:val="0"/>
              <w:spacing w:line="300" w:lineRule="auto"/>
              <w:rPr>
                <w:rFonts w:ascii="仿宋" w:hAnsi="仿宋" w:eastAsia="仿宋"/>
                <w:sz w:val="24"/>
              </w:rPr>
            </w:pPr>
          </w:p>
        </w:tc>
        <w:tc>
          <w:tcPr>
            <w:tcW w:w="6425" w:type="dxa"/>
            <w:shd w:val="clear" w:color="auto" w:fill="auto"/>
            <w:noWrap w:val="0"/>
            <w:vAlign w:val="center"/>
          </w:tcPr>
          <w:p w14:paraId="3E67DCD8">
            <w:pPr>
              <w:widowControl/>
              <w:snapToGrid w:val="0"/>
              <w:spacing w:line="300" w:lineRule="auto"/>
              <w:jc w:val="left"/>
              <w:rPr>
                <w:rFonts w:ascii="仿宋" w:hAnsi="仿宋" w:eastAsia="仿宋" w:cs="Calibri"/>
                <w:sz w:val="24"/>
              </w:rPr>
            </w:pPr>
            <w:r>
              <w:rPr>
                <w:rFonts w:hint="eastAsia" w:ascii="仿宋" w:hAnsi="仿宋" w:eastAsia="仿宋" w:cs="Calibri"/>
                <w:sz w:val="24"/>
              </w:rPr>
              <w:t>（2）更换的照明灯具应当选用节能环保产品，亮度与更换前保持一致。</w:t>
            </w:r>
          </w:p>
        </w:tc>
      </w:tr>
      <w:tr w14:paraId="52BB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7DA45984">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05BB8AE4">
            <w:pPr>
              <w:widowControl/>
              <w:snapToGrid w:val="0"/>
              <w:spacing w:line="300" w:lineRule="auto"/>
              <w:rPr>
                <w:rFonts w:ascii="仿宋" w:hAnsi="仿宋" w:eastAsia="仿宋"/>
                <w:sz w:val="24"/>
              </w:rPr>
            </w:pPr>
          </w:p>
        </w:tc>
        <w:tc>
          <w:tcPr>
            <w:tcW w:w="6425" w:type="dxa"/>
            <w:shd w:val="clear" w:color="auto" w:fill="auto"/>
            <w:noWrap w:val="0"/>
            <w:vAlign w:val="center"/>
          </w:tcPr>
          <w:p w14:paraId="5B552165">
            <w:pPr>
              <w:widowControl/>
              <w:snapToGrid w:val="0"/>
              <w:spacing w:line="300" w:lineRule="auto"/>
              <w:jc w:val="left"/>
              <w:rPr>
                <w:rFonts w:ascii="仿宋" w:hAnsi="仿宋" w:eastAsia="仿宋" w:cs="Calibri"/>
                <w:sz w:val="24"/>
              </w:rPr>
            </w:pPr>
            <w:r>
              <w:rPr>
                <w:rFonts w:hint="eastAsia" w:ascii="仿宋" w:hAnsi="仿宋" w:eastAsia="仿宋" w:cs="Calibri"/>
                <w:sz w:val="24"/>
              </w:rPr>
              <w:t>（3）每周至少开展1次公共区域照明设备巡视。</w:t>
            </w:r>
          </w:p>
        </w:tc>
      </w:tr>
      <w:tr w14:paraId="6824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4" w:type="dxa"/>
            <w:vMerge w:val="continue"/>
            <w:shd w:val="clear" w:color="auto" w:fill="auto"/>
            <w:noWrap w:val="0"/>
            <w:vAlign w:val="center"/>
          </w:tcPr>
          <w:p w14:paraId="7B732571">
            <w:pPr>
              <w:widowControl/>
              <w:snapToGrid w:val="0"/>
              <w:spacing w:line="300" w:lineRule="auto"/>
              <w:jc w:val="center"/>
              <w:rPr>
                <w:rFonts w:ascii="仿宋" w:hAnsi="仿宋" w:eastAsia="仿宋"/>
                <w:sz w:val="24"/>
              </w:rPr>
            </w:pPr>
          </w:p>
        </w:tc>
        <w:tc>
          <w:tcPr>
            <w:tcW w:w="1315" w:type="dxa"/>
            <w:vMerge w:val="continue"/>
            <w:shd w:val="clear" w:color="auto" w:fill="auto"/>
            <w:noWrap w:val="0"/>
            <w:vAlign w:val="center"/>
          </w:tcPr>
          <w:p w14:paraId="418A70CF">
            <w:pPr>
              <w:widowControl/>
              <w:snapToGrid w:val="0"/>
              <w:spacing w:line="300" w:lineRule="auto"/>
              <w:rPr>
                <w:rFonts w:ascii="仿宋" w:hAnsi="仿宋" w:eastAsia="仿宋"/>
                <w:sz w:val="24"/>
              </w:rPr>
            </w:pPr>
          </w:p>
        </w:tc>
        <w:tc>
          <w:tcPr>
            <w:tcW w:w="6425" w:type="dxa"/>
            <w:shd w:val="clear" w:color="auto" w:fill="auto"/>
            <w:noWrap w:val="0"/>
            <w:vAlign w:val="center"/>
          </w:tcPr>
          <w:p w14:paraId="6E658C6E">
            <w:pPr>
              <w:widowControl/>
              <w:snapToGrid w:val="0"/>
              <w:spacing w:line="300" w:lineRule="auto"/>
              <w:jc w:val="left"/>
              <w:rPr>
                <w:rFonts w:ascii="仿宋" w:hAnsi="仿宋" w:eastAsia="仿宋" w:cs="Calibri"/>
                <w:sz w:val="24"/>
              </w:rPr>
            </w:pPr>
            <w:r>
              <w:rPr>
                <w:rFonts w:hint="eastAsia" w:ascii="仿宋" w:hAnsi="仿宋" w:eastAsia="仿宋" w:cs="Calibri"/>
                <w:sz w:val="24"/>
              </w:rPr>
              <w:t>（4）根据气候变化适时调整户外照明开关时间，加强日常检查，杜绝“长明灯”现象。</w:t>
            </w:r>
          </w:p>
        </w:tc>
      </w:tr>
    </w:tbl>
    <w:p w14:paraId="6F9F63EA">
      <w:pPr>
        <w:pStyle w:val="3"/>
        <w:rPr>
          <w:rFonts w:ascii="Times New Roman" w:hAnsi="Times New Roman"/>
          <w:kern w:val="0"/>
          <w:sz w:val="20"/>
        </w:rPr>
      </w:pPr>
      <w:r>
        <w:rPr>
          <w:rFonts w:hint="eastAsia" w:ascii="Times New Roman" w:hAnsi="Times New Roman"/>
          <w:kern w:val="0"/>
          <w:sz w:val="20"/>
        </w:rPr>
        <w:t>注：维修配件单件3</w:t>
      </w:r>
      <w:r>
        <w:rPr>
          <w:rFonts w:ascii="Times New Roman" w:hAnsi="Times New Roman"/>
          <w:kern w:val="0"/>
          <w:sz w:val="20"/>
        </w:rPr>
        <w:t>00</w:t>
      </w:r>
      <w:r>
        <w:rPr>
          <w:rFonts w:hint="eastAsia" w:ascii="Times New Roman" w:hAnsi="Times New Roman"/>
          <w:kern w:val="0"/>
          <w:sz w:val="20"/>
        </w:rPr>
        <w:t>元以内由中标人负责， 3</w:t>
      </w:r>
      <w:r>
        <w:rPr>
          <w:rFonts w:ascii="Times New Roman" w:hAnsi="Times New Roman"/>
          <w:kern w:val="0"/>
          <w:sz w:val="20"/>
        </w:rPr>
        <w:t>00</w:t>
      </w:r>
      <w:r>
        <w:rPr>
          <w:rFonts w:hint="eastAsia" w:ascii="Times New Roman" w:hAnsi="Times New Roman"/>
          <w:kern w:val="0"/>
          <w:sz w:val="20"/>
        </w:rPr>
        <w:t>元以上的维修配件由中标人提出申请，经采购单位同意后由采购单位购买，中标人以旧换新；服务标准涉及的国家标准有更新的，执行国家最新标准。</w:t>
      </w:r>
    </w:p>
    <w:p w14:paraId="3E5C8023">
      <w:pPr>
        <w:spacing w:line="360" w:lineRule="auto"/>
        <w:ind w:firstLine="480" w:firstLineChars="200"/>
        <w:rPr>
          <w:rFonts w:ascii="仿宋" w:hAnsi="仿宋" w:eastAsia="仿宋" w:cs="仿宋"/>
          <w:iCs/>
          <w:sz w:val="24"/>
        </w:rPr>
      </w:pPr>
      <w:r>
        <w:rPr>
          <w:rFonts w:hint="eastAsia" w:ascii="仿宋" w:hAnsi="仿宋" w:eastAsia="仿宋" w:cs="仿宋"/>
          <w:iCs/>
          <w:sz w:val="24"/>
        </w:rPr>
        <w:t>3</w:t>
      </w:r>
      <w:r>
        <w:rPr>
          <w:rFonts w:ascii="仿宋" w:hAnsi="仿宋" w:eastAsia="仿宋" w:cs="仿宋"/>
          <w:iCs/>
          <w:sz w:val="24"/>
        </w:rPr>
        <w:t>.</w:t>
      </w:r>
      <w:r>
        <w:rPr>
          <w:rFonts w:hint="eastAsia" w:ascii="仿宋" w:hAnsi="仿宋" w:eastAsia="仿宋" w:cs="仿宋"/>
          <w:iCs/>
          <w:sz w:val="24"/>
        </w:rPr>
        <w:t>楼宇</w:t>
      </w:r>
      <w:r>
        <w:rPr>
          <w:rFonts w:ascii="仿宋" w:hAnsi="仿宋" w:eastAsia="仿宋" w:cs="仿宋"/>
          <w:iCs/>
          <w:sz w:val="24"/>
        </w:rPr>
        <w:t>管理</w:t>
      </w:r>
      <w:r>
        <w:rPr>
          <w:rFonts w:hint="eastAsia" w:ascii="仿宋" w:hAnsi="仿宋" w:eastAsia="仿宋" w:cs="仿宋"/>
          <w:iCs/>
          <w:sz w:val="24"/>
        </w:rPr>
        <w:t>（含教室管理）</w:t>
      </w:r>
      <w:r>
        <w:rPr>
          <w:rFonts w:ascii="仿宋" w:hAnsi="仿宋" w:eastAsia="仿宋" w:cs="仿宋"/>
          <w:iCs/>
          <w:sz w:val="24"/>
        </w:rPr>
        <w:t>服务</w:t>
      </w:r>
      <w:r>
        <w:rPr>
          <w:rFonts w:hint="eastAsia" w:ascii="仿宋" w:hAnsi="仿宋" w:eastAsia="仿宋" w:cs="仿宋"/>
          <w:iCs/>
          <w:sz w:val="24"/>
        </w:rPr>
        <w:t>内容、要求及标准</w:t>
      </w:r>
    </w:p>
    <w:p w14:paraId="08817414">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1</w:t>
      </w:r>
      <w:r>
        <w:rPr>
          <w:rFonts w:ascii="仿宋" w:hAnsi="仿宋" w:eastAsia="仿宋" w:cs="仿宋"/>
          <w:iCs/>
          <w:sz w:val="24"/>
        </w:rPr>
        <w:t>.</w:t>
      </w:r>
      <w:r>
        <w:rPr>
          <w:rFonts w:hint="eastAsia" w:ascii="仿宋" w:hAnsi="仿宋" w:eastAsia="仿宋" w:cs="仿宋"/>
          <w:iCs/>
          <w:sz w:val="24"/>
        </w:rPr>
        <w:t>物业服务中心服务人员负责向师生提供各类与专家公寓楼、东盟合作教育综合楼、留学生公寓物业相关的咨询服务；</w:t>
      </w:r>
    </w:p>
    <w:p w14:paraId="01444934">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2</w:t>
      </w:r>
      <w:r>
        <w:rPr>
          <w:rFonts w:ascii="仿宋" w:hAnsi="仿宋" w:eastAsia="仿宋" w:cs="仿宋"/>
          <w:iCs/>
          <w:sz w:val="24"/>
        </w:rPr>
        <w:t>.</w:t>
      </w:r>
      <w:r>
        <w:rPr>
          <w:rFonts w:hint="eastAsia" w:ascii="仿宋" w:hAnsi="仿宋" w:eastAsia="仿宋" w:cs="仿宋"/>
          <w:iCs/>
          <w:sz w:val="24"/>
        </w:rPr>
        <w:t>物业服务中心服务人员协调督促落实专家公寓楼、东盟合作教育综合楼、留学生公寓维修、清卫、照明、电梯管理与日常维护工作，保证楼宇环境整洁有序、设备运行良好；</w:t>
      </w:r>
    </w:p>
    <w:p w14:paraId="24F962FB">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3</w:t>
      </w:r>
      <w:r>
        <w:rPr>
          <w:rFonts w:ascii="仿宋" w:hAnsi="仿宋" w:eastAsia="仿宋" w:cs="仿宋"/>
          <w:iCs/>
          <w:sz w:val="24"/>
        </w:rPr>
        <w:t>.</w:t>
      </w:r>
      <w:r>
        <w:rPr>
          <w:rFonts w:hint="eastAsia" w:ascii="仿宋" w:hAnsi="仿宋" w:eastAsia="仿宋" w:cs="仿宋"/>
          <w:iCs/>
          <w:sz w:val="24"/>
        </w:rPr>
        <w:t>在物业服务中心设立报修点，设置报修电话，报修平台等。接到报修，十五分钟内电话报修至维修项目所属维修部门。对报修事项进度进行跟进，验证维修效果，并签字确认，必要时给报修人反馈；</w:t>
      </w:r>
    </w:p>
    <w:p w14:paraId="1D7D769B">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4</w:t>
      </w:r>
      <w:r>
        <w:rPr>
          <w:rFonts w:ascii="仿宋" w:hAnsi="仿宋" w:eastAsia="仿宋" w:cs="仿宋"/>
          <w:iCs/>
          <w:sz w:val="24"/>
        </w:rPr>
        <w:t>.</w:t>
      </w:r>
      <w:r>
        <w:rPr>
          <w:rFonts w:hint="eastAsia" w:ascii="仿宋" w:hAnsi="仿宋" w:eastAsia="仿宋" w:cs="仿宋"/>
          <w:iCs/>
          <w:sz w:val="24"/>
        </w:rPr>
        <w:t>加强对外来人员登记，大件物品出门登记，对楼内公共财产擅自带出的行为予以制止并妥善处理；</w:t>
      </w:r>
    </w:p>
    <w:p w14:paraId="11272085">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5</w:t>
      </w:r>
      <w:r>
        <w:rPr>
          <w:rFonts w:ascii="仿宋" w:hAnsi="仿宋" w:eastAsia="仿宋" w:cs="仿宋"/>
          <w:iCs/>
          <w:sz w:val="24"/>
        </w:rPr>
        <w:t>.</w:t>
      </w:r>
      <w:r>
        <w:rPr>
          <w:rFonts w:hint="eastAsia" w:ascii="仿宋" w:hAnsi="仿宋" w:eastAsia="仿宋" w:cs="仿宋"/>
          <w:iCs/>
          <w:sz w:val="24"/>
        </w:rPr>
        <w:t>对进入大楼内部施工的人员进行必要的登记和管理，做到工完、人走、场清，不留建筑垃圾；</w:t>
      </w:r>
    </w:p>
    <w:p w14:paraId="13F80F88">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6</w:t>
      </w:r>
      <w:r>
        <w:rPr>
          <w:rFonts w:ascii="仿宋" w:hAnsi="仿宋" w:eastAsia="仿宋" w:cs="仿宋"/>
          <w:iCs/>
          <w:sz w:val="24"/>
        </w:rPr>
        <w:t>.</w:t>
      </w:r>
      <w:r>
        <w:rPr>
          <w:rFonts w:hint="eastAsia" w:ascii="仿宋" w:hAnsi="仿宋" w:eastAsia="仿宋" w:cs="仿宋"/>
          <w:iCs/>
          <w:sz w:val="24"/>
        </w:rPr>
        <w:t>负责楼内的定时巡视，及时发现和处置安全隐患。对重点部位、重点时间以及遇到特殊情况加强巡逻。</w:t>
      </w:r>
    </w:p>
    <w:p w14:paraId="06951D84">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7</w:t>
      </w:r>
      <w:r>
        <w:rPr>
          <w:rFonts w:ascii="仿宋" w:hAnsi="仿宋" w:eastAsia="仿宋" w:cs="仿宋"/>
          <w:iCs/>
          <w:sz w:val="24"/>
        </w:rPr>
        <w:t>.</w:t>
      </w:r>
      <w:r>
        <w:rPr>
          <w:rFonts w:hint="eastAsia" w:ascii="仿宋" w:hAnsi="仿宋" w:eastAsia="仿宋" w:cs="仿宋"/>
          <w:iCs/>
          <w:sz w:val="24"/>
        </w:rPr>
        <w:t>按公共教学楼开关门时间开闭大门，做好教室内的卫生保洁。做好晚间公共教学楼关闭后的全楼巡视，关闭门窗、检查水电、无异常情况并确认无闲杂人员滞留；</w:t>
      </w:r>
    </w:p>
    <w:p w14:paraId="2965B389">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8</w:t>
      </w:r>
      <w:r>
        <w:rPr>
          <w:rFonts w:ascii="仿宋" w:hAnsi="仿宋" w:eastAsia="仿宋" w:cs="仿宋"/>
          <w:iCs/>
          <w:sz w:val="24"/>
        </w:rPr>
        <w:t>.</w:t>
      </w:r>
      <w:r>
        <w:rPr>
          <w:rFonts w:hint="eastAsia" w:ascii="仿宋" w:hAnsi="仿宋" w:eastAsia="仿宋" w:cs="仿宋"/>
          <w:iCs/>
          <w:sz w:val="24"/>
        </w:rPr>
        <w:t>辅助学校教务处和国有资产与设备处等相关部门做好教学设施、设备(包括课室监控室)、设课教室等的管理工作</w:t>
      </w:r>
    </w:p>
    <w:p w14:paraId="131ED3FA">
      <w:pPr>
        <w:spacing w:line="360" w:lineRule="auto"/>
        <w:ind w:firstLine="480" w:firstLineChars="200"/>
        <w:rPr>
          <w:rFonts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9</w:t>
      </w:r>
      <w:r>
        <w:rPr>
          <w:rFonts w:ascii="仿宋" w:hAnsi="仿宋" w:eastAsia="仿宋" w:cs="仿宋"/>
          <w:iCs/>
          <w:sz w:val="24"/>
        </w:rPr>
        <w:t>.</w:t>
      </w:r>
      <w:r>
        <w:rPr>
          <w:rFonts w:hint="eastAsia" w:ascii="仿宋" w:hAnsi="仿宋" w:eastAsia="仿宋" w:cs="仿宋"/>
          <w:iCs/>
          <w:sz w:val="24"/>
        </w:rPr>
        <w:t>了解师生对教学设施、教学空间与教学服务的意见建议并向学校反馈。</w:t>
      </w:r>
    </w:p>
    <w:p w14:paraId="33B8E8D5">
      <w:pPr>
        <w:spacing w:line="360" w:lineRule="auto"/>
        <w:ind w:firstLine="480" w:firstLineChars="200"/>
        <w:rPr>
          <w:rFonts w:ascii="仿宋" w:hAnsi="仿宋" w:eastAsia="仿宋" w:cs="仿宋"/>
          <w:iCs/>
          <w:sz w:val="24"/>
        </w:rPr>
      </w:pPr>
      <w:r>
        <w:rPr>
          <w:rFonts w:hint="eastAsia" w:ascii="仿宋" w:hAnsi="仿宋" w:eastAsia="仿宋" w:cs="仿宋"/>
          <w:iCs/>
          <w:sz w:val="24"/>
        </w:rPr>
        <w:t>4</w:t>
      </w:r>
      <w:r>
        <w:rPr>
          <w:rFonts w:ascii="仿宋" w:hAnsi="仿宋" w:eastAsia="仿宋" w:cs="仿宋"/>
          <w:iCs/>
          <w:sz w:val="24"/>
        </w:rPr>
        <w:t>.</w:t>
      </w:r>
      <w:r>
        <w:rPr>
          <w:rFonts w:hint="eastAsia" w:ascii="仿宋" w:hAnsi="仿宋" w:eastAsia="仿宋" w:cs="仿宋"/>
          <w:iCs/>
          <w:sz w:val="24"/>
        </w:rPr>
        <w:t>卫生保洁</w:t>
      </w:r>
      <w:r>
        <w:rPr>
          <w:rFonts w:ascii="仿宋" w:hAnsi="仿宋" w:eastAsia="仿宋" w:cs="仿宋"/>
          <w:iCs/>
          <w:sz w:val="24"/>
        </w:rPr>
        <w:t>服务</w:t>
      </w:r>
      <w:r>
        <w:rPr>
          <w:rFonts w:hint="eastAsia" w:ascii="仿宋" w:hAnsi="仿宋" w:eastAsia="仿宋" w:cs="仿宋"/>
          <w:iCs/>
          <w:sz w:val="24"/>
        </w:rPr>
        <w:t>内容、要求及标准</w:t>
      </w:r>
    </w:p>
    <w:p w14:paraId="41B9AFED">
      <w:pPr>
        <w:spacing w:line="360" w:lineRule="auto"/>
        <w:ind w:firstLine="480" w:firstLineChars="200"/>
        <w:rPr>
          <w:rFonts w:ascii="仿宋" w:hAnsi="仿宋" w:eastAsia="仿宋" w:cs="仿宋"/>
          <w:iCs/>
          <w:sz w:val="24"/>
        </w:rPr>
      </w:pPr>
      <w:r>
        <w:rPr>
          <w:rFonts w:ascii="仿宋" w:hAnsi="仿宋" w:eastAsia="仿宋" w:cs="仿宋"/>
          <w:iCs/>
          <w:sz w:val="24"/>
        </w:rPr>
        <w:t>4.</w:t>
      </w:r>
      <w:r>
        <w:rPr>
          <w:rFonts w:hint="eastAsia" w:ascii="仿宋" w:hAnsi="仿宋" w:eastAsia="仿宋" w:cs="仿宋"/>
          <w:iCs/>
          <w:sz w:val="24"/>
        </w:rPr>
        <w:t>1.服务内容</w:t>
      </w:r>
    </w:p>
    <w:p w14:paraId="24CBC1DB">
      <w:pPr>
        <w:spacing w:line="360" w:lineRule="auto"/>
        <w:ind w:firstLine="480" w:firstLineChars="200"/>
        <w:rPr>
          <w:rFonts w:ascii="仿宋" w:hAnsi="仿宋" w:eastAsia="仿宋" w:cs="仿宋"/>
          <w:iCs/>
          <w:sz w:val="24"/>
        </w:rPr>
      </w:pPr>
      <w:r>
        <w:rPr>
          <w:rFonts w:hint="eastAsia" w:ascii="仿宋" w:hAnsi="仿宋" w:eastAsia="仿宋" w:cs="仿宋"/>
          <w:iCs/>
          <w:sz w:val="24"/>
        </w:rPr>
        <w:t>（1）负责做好专家公寓楼、东盟合作教育综合楼、留学生公寓及周边环境卫生日常清洁管理工作，包括道路，建筑物公共区域及公共卫生间等校园公共场地的地面、楼道、走廊、外墙、内墙、门窗、玻璃、楼梯扶手、栏杆，电梯、建筑物共有部分水电设备、消防设施、校园摄像头等设施设备。</w:t>
      </w:r>
    </w:p>
    <w:p w14:paraId="30532416">
      <w:pPr>
        <w:spacing w:line="360" w:lineRule="auto"/>
        <w:ind w:firstLine="480" w:firstLineChars="200"/>
        <w:rPr>
          <w:rFonts w:ascii="仿宋" w:hAnsi="仿宋" w:eastAsia="仿宋" w:cs="仿宋"/>
          <w:iCs/>
          <w:sz w:val="24"/>
        </w:rPr>
      </w:pPr>
      <w:r>
        <w:rPr>
          <w:rFonts w:hint="eastAsia" w:ascii="仿宋" w:hAnsi="仿宋" w:eastAsia="仿宋" w:cs="仿宋"/>
          <w:iCs/>
          <w:sz w:val="24"/>
        </w:rPr>
        <w:t>（2）负责做好毕业学生宿舍的卫生清洁工作和新学生入住前宿舍的清洁工作。</w:t>
      </w:r>
    </w:p>
    <w:p w14:paraId="51AF001F">
      <w:pPr>
        <w:spacing w:line="360" w:lineRule="auto"/>
        <w:ind w:firstLine="480" w:firstLineChars="200"/>
        <w:rPr>
          <w:rFonts w:ascii="仿宋" w:hAnsi="仿宋" w:eastAsia="仿宋" w:cs="仿宋"/>
          <w:iCs/>
          <w:sz w:val="24"/>
        </w:rPr>
      </w:pPr>
      <w:r>
        <w:rPr>
          <w:rFonts w:hint="eastAsia" w:ascii="仿宋" w:hAnsi="仿宋" w:eastAsia="仿宋" w:cs="仿宋"/>
          <w:iCs/>
          <w:sz w:val="24"/>
        </w:rPr>
        <w:t>（3）负责将专家公寓楼、东盟合作教育综合楼、留学生公寓及周边的垃圾桶内垃圾收集到垃圾堆放点，协调督促环卫部门进行清运。</w:t>
      </w:r>
    </w:p>
    <w:p w14:paraId="353AF32D">
      <w:pPr>
        <w:spacing w:line="360" w:lineRule="auto"/>
        <w:ind w:firstLine="480" w:firstLineChars="200"/>
        <w:rPr>
          <w:rFonts w:ascii="仿宋" w:hAnsi="仿宋" w:eastAsia="仿宋" w:cs="仿宋"/>
          <w:iCs/>
          <w:sz w:val="24"/>
        </w:rPr>
      </w:pPr>
      <w:r>
        <w:rPr>
          <w:rFonts w:hint="eastAsia" w:ascii="仿宋" w:hAnsi="仿宋" w:eastAsia="仿宋" w:cs="仿宋"/>
          <w:iCs/>
          <w:sz w:val="24"/>
        </w:rPr>
        <w:t>（4）负责专家公寓楼、东盟合作教育综合楼、留学生公寓区域雨后道路积水清扫、沟渠的清理、清理化粪池。</w:t>
      </w:r>
    </w:p>
    <w:p w14:paraId="64E6A967">
      <w:pPr>
        <w:spacing w:line="360" w:lineRule="auto"/>
        <w:ind w:firstLine="480" w:firstLineChars="200"/>
        <w:rPr>
          <w:rFonts w:ascii="仿宋" w:hAnsi="仿宋" w:eastAsia="仿宋" w:cs="仿宋"/>
          <w:iCs/>
          <w:sz w:val="24"/>
        </w:rPr>
      </w:pPr>
      <w:r>
        <w:rPr>
          <w:rFonts w:hint="eastAsia" w:ascii="仿宋" w:hAnsi="仿宋" w:eastAsia="仿宋" w:cs="仿宋"/>
          <w:iCs/>
          <w:sz w:val="24"/>
        </w:rPr>
        <w:t>（5）负责配合学校按照上级的要求开展创建文明城市、卫生城市及开展爱国卫生运动等相关工作，承担校园环境卫生保洁工作，配合有关部门、单位开展日常除“四害”和卫生防疫等工作。</w:t>
      </w:r>
    </w:p>
    <w:p w14:paraId="79E0BCD5">
      <w:pPr>
        <w:spacing w:line="360" w:lineRule="auto"/>
        <w:ind w:firstLine="480" w:firstLineChars="200"/>
        <w:rPr>
          <w:rFonts w:ascii="仿宋" w:hAnsi="仿宋" w:eastAsia="仿宋" w:cs="仿宋"/>
          <w:iCs/>
          <w:sz w:val="24"/>
        </w:rPr>
      </w:pPr>
      <w:r>
        <w:rPr>
          <w:rFonts w:hint="eastAsia" w:ascii="仿宋" w:hAnsi="仿宋" w:eastAsia="仿宋" w:cs="仿宋"/>
          <w:iCs/>
          <w:sz w:val="24"/>
        </w:rPr>
        <w:t>（6）负责做好校园垃圾分类相关工作。组织公司员工开展垃圾分类宣传培训工作，按规定做好专家公寓楼、东盟合作教育综合楼、留学生公寓及周边垃圾分类设施的布置摆放和日常的清洁工作，配合学校做好垃圾分类其他工作。</w:t>
      </w:r>
    </w:p>
    <w:p w14:paraId="2D0F0E9D">
      <w:pPr>
        <w:spacing w:line="360" w:lineRule="auto"/>
        <w:ind w:firstLine="480" w:firstLineChars="200"/>
        <w:rPr>
          <w:rFonts w:ascii="仿宋" w:hAnsi="仿宋" w:eastAsia="仿宋" w:cs="仿宋"/>
          <w:iCs/>
          <w:sz w:val="24"/>
        </w:rPr>
      </w:pPr>
      <w:r>
        <w:rPr>
          <w:rFonts w:hint="eastAsia" w:ascii="仿宋" w:hAnsi="仿宋" w:eastAsia="仿宋" w:cs="仿宋"/>
          <w:iCs/>
          <w:sz w:val="24"/>
        </w:rPr>
        <w:t>（7）负责专家公寓楼、东盟合作教育综合楼、留学生公寓及周边大件垃圾、建筑垃圾、绿化垃圾的监管，因监管不到位导致无人处理的，由物业公司进行处理，并承担相关清理费用。</w:t>
      </w:r>
    </w:p>
    <w:p w14:paraId="78E2B069">
      <w:pPr>
        <w:spacing w:line="360" w:lineRule="auto"/>
        <w:ind w:firstLine="480" w:firstLineChars="200"/>
        <w:rPr>
          <w:rFonts w:ascii="仿宋" w:hAnsi="仿宋" w:eastAsia="仿宋" w:cs="仿宋"/>
          <w:iCs/>
          <w:sz w:val="24"/>
        </w:rPr>
      </w:pPr>
      <w:r>
        <w:rPr>
          <w:rFonts w:hint="eastAsia" w:ascii="仿宋" w:hAnsi="仿宋" w:eastAsia="仿宋" w:cs="仿宋"/>
          <w:iCs/>
          <w:sz w:val="24"/>
        </w:rPr>
        <w:t>（8）负责专家公寓楼、东盟合作教育综合楼、留学生公寓及周边区域学校新生入学、重要接待、重要会议等活动的卫生保洁工作。</w:t>
      </w:r>
    </w:p>
    <w:p w14:paraId="6464DB9F">
      <w:pPr>
        <w:spacing w:line="360" w:lineRule="auto"/>
        <w:ind w:firstLine="480" w:firstLineChars="200"/>
        <w:rPr>
          <w:rFonts w:ascii="仿宋" w:hAnsi="仿宋" w:eastAsia="仿宋" w:cs="仿宋"/>
          <w:iCs/>
          <w:sz w:val="24"/>
        </w:rPr>
      </w:pPr>
      <w:r>
        <w:rPr>
          <w:rFonts w:hint="eastAsia" w:ascii="仿宋" w:hAnsi="仿宋" w:eastAsia="仿宋" w:cs="仿宋"/>
          <w:iCs/>
          <w:sz w:val="24"/>
        </w:rPr>
        <w:t>（9）建立健全人员安排、工作计划、工作总结等台账。</w:t>
      </w:r>
    </w:p>
    <w:p w14:paraId="2DF48A98">
      <w:pPr>
        <w:spacing w:line="360" w:lineRule="auto"/>
        <w:ind w:firstLine="480" w:firstLineChars="200"/>
        <w:rPr>
          <w:rFonts w:ascii="仿宋" w:hAnsi="仿宋" w:eastAsia="仿宋" w:cs="仿宋"/>
          <w:iCs/>
          <w:sz w:val="24"/>
        </w:rPr>
      </w:pPr>
      <w:r>
        <w:rPr>
          <w:rFonts w:ascii="仿宋" w:hAnsi="仿宋" w:eastAsia="仿宋" w:cs="仿宋"/>
          <w:iCs/>
          <w:sz w:val="24"/>
        </w:rPr>
        <w:t>4.2.</w:t>
      </w:r>
      <w:r>
        <w:rPr>
          <w:rFonts w:hint="eastAsia" w:ascii="仿宋" w:hAnsi="仿宋" w:eastAsia="仿宋" w:cs="仿宋"/>
          <w:iCs/>
          <w:sz w:val="24"/>
        </w:rPr>
        <w:t>具体服务要求及标准</w:t>
      </w:r>
    </w:p>
    <w:tbl>
      <w:tblPr>
        <w:tblStyle w:val="4"/>
        <w:tblW w:w="5003"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07"/>
        <w:gridCol w:w="5725"/>
      </w:tblGrid>
      <w:tr w14:paraId="4D72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shd w:val="clear" w:color="auto" w:fill="auto"/>
            <w:noWrap w:val="0"/>
            <w:vAlign w:val="center"/>
          </w:tcPr>
          <w:p w14:paraId="3A599499">
            <w:pPr>
              <w:widowControl/>
              <w:snapToGrid w:val="0"/>
              <w:spacing w:line="300" w:lineRule="auto"/>
              <w:jc w:val="center"/>
              <w:rPr>
                <w:rFonts w:ascii="Calibri" w:hAnsi="Calibri" w:cs="Calibri"/>
                <w:bCs/>
                <w:sz w:val="28"/>
                <w:szCs w:val="28"/>
              </w:rPr>
            </w:pPr>
            <w:r>
              <w:rPr>
                <w:rFonts w:hint="eastAsia" w:cs="Calibri"/>
                <w:bCs/>
                <w:sz w:val="28"/>
                <w:szCs w:val="28"/>
              </w:rPr>
              <w:t>序号</w:t>
            </w:r>
          </w:p>
        </w:tc>
        <w:tc>
          <w:tcPr>
            <w:tcW w:w="1954" w:type="dxa"/>
            <w:shd w:val="clear" w:color="auto" w:fill="auto"/>
            <w:noWrap w:val="0"/>
            <w:vAlign w:val="center"/>
          </w:tcPr>
          <w:p w14:paraId="554AF241">
            <w:pPr>
              <w:widowControl/>
              <w:snapToGrid w:val="0"/>
              <w:spacing w:line="300" w:lineRule="auto"/>
              <w:jc w:val="center"/>
              <w:rPr>
                <w:rFonts w:ascii="Calibri" w:hAnsi="Calibri" w:cs="Calibri"/>
                <w:bCs/>
                <w:sz w:val="28"/>
                <w:szCs w:val="28"/>
              </w:rPr>
            </w:pPr>
            <w:r>
              <w:rPr>
                <w:rFonts w:ascii="Calibri" w:hAnsi="Calibri" w:cs="Calibri"/>
                <w:bCs/>
                <w:sz w:val="28"/>
                <w:szCs w:val="28"/>
              </w:rPr>
              <w:t>服务内容</w:t>
            </w:r>
          </w:p>
        </w:tc>
        <w:tc>
          <w:tcPr>
            <w:tcW w:w="5573" w:type="dxa"/>
            <w:shd w:val="clear" w:color="auto" w:fill="auto"/>
            <w:noWrap w:val="0"/>
            <w:vAlign w:val="center"/>
          </w:tcPr>
          <w:p w14:paraId="5DAB5BE0">
            <w:pPr>
              <w:widowControl/>
              <w:snapToGrid w:val="0"/>
              <w:spacing w:line="300" w:lineRule="auto"/>
              <w:jc w:val="center"/>
              <w:rPr>
                <w:rFonts w:ascii="Calibri" w:hAnsi="Calibri" w:cs="Calibri"/>
                <w:bCs/>
                <w:sz w:val="28"/>
                <w:szCs w:val="28"/>
              </w:rPr>
            </w:pPr>
            <w:r>
              <w:rPr>
                <w:rFonts w:hint="eastAsia" w:cs="Calibri"/>
                <w:bCs/>
                <w:sz w:val="28"/>
                <w:szCs w:val="28"/>
              </w:rPr>
              <w:t>服务标准</w:t>
            </w:r>
          </w:p>
        </w:tc>
      </w:tr>
      <w:tr w14:paraId="72AC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restart"/>
            <w:shd w:val="clear" w:color="auto" w:fill="auto"/>
            <w:noWrap w:val="0"/>
            <w:vAlign w:val="center"/>
          </w:tcPr>
          <w:p w14:paraId="1D661C49">
            <w:pPr>
              <w:widowControl/>
              <w:snapToGrid w:val="0"/>
              <w:spacing w:line="300" w:lineRule="auto"/>
              <w:jc w:val="center"/>
              <w:rPr>
                <w:rFonts w:ascii="仿宋" w:hAnsi="仿宋" w:eastAsia="仿宋"/>
                <w:sz w:val="24"/>
              </w:rPr>
            </w:pPr>
            <w:r>
              <w:rPr>
                <w:rFonts w:hint="eastAsia" w:ascii="仿宋" w:hAnsi="仿宋" w:eastAsia="仿宋"/>
                <w:sz w:val="24"/>
              </w:rPr>
              <w:t>1</w:t>
            </w:r>
          </w:p>
        </w:tc>
        <w:tc>
          <w:tcPr>
            <w:tcW w:w="1954" w:type="dxa"/>
            <w:vMerge w:val="restart"/>
            <w:shd w:val="clear" w:color="auto" w:fill="auto"/>
            <w:noWrap w:val="0"/>
            <w:vAlign w:val="center"/>
          </w:tcPr>
          <w:p w14:paraId="767A5CC9">
            <w:pPr>
              <w:widowControl/>
              <w:snapToGrid w:val="0"/>
              <w:spacing w:line="300" w:lineRule="auto"/>
              <w:rPr>
                <w:rFonts w:ascii="仿宋" w:hAnsi="仿宋" w:eastAsia="仿宋"/>
                <w:sz w:val="24"/>
              </w:rPr>
            </w:pPr>
            <w:r>
              <w:rPr>
                <w:rFonts w:hint="eastAsia" w:ascii="仿宋" w:hAnsi="仿宋" w:eastAsia="仿宋"/>
                <w:sz w:val="24"/>
              </w:rPr>
              <w:t>基本要求</w:t>
            </w:r>
          </w:p>
        </w:tc>
        <w:tc>
          <w:tcPr>
            <w:tcW w:w="5573" w:type="dxa"/>
            <w:shd w:val="clear" w:color="auto" w:fill="auto"/>
            <w:noWrap w:val="0"/>
            <w:vAlign w:val="center"/>
          </w:tcPr>
          <w:p w14:paraId="657C8675">
            <w:pPr>
              <w:widowControl/>
              <w:snapToGrid w:val="0"/>
              <w:spacing w:line="300" w:lineRule="auto"/>
              <w:jc w:val="left"/>
              <w:rPr>
                <w:rFonts w:ascii="仿宋" w:hAnsi="仿宋" w:eastAsia="仿宋" w:cs="Calibri"/>
                <w:sz w:val="24"/>
              </w:rPr>
            </w:pPr>
            <w:r>
              <w:rPr>
                <w:rFonts w:hint="eastAsia" w:ascii="仿宋" w:hAnsi="仿宋" w:eastAsia="仿宋" w:cs="Calibri"/>
                <w:sz w:val="24"/>
              </w:rPr>
              <w:t>（1）建立保洁服务的工作制度及工作计划，并按照执行。</w:t>
            </w:r>
          </w:p>
        </w:tc>
      </w:tr>
      <w:tr w14:paraId="69D8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394D5417">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292D5009">
            <w:pPr>
              <w:widowControl/>
              <w:snapToGrid w:val="0"/>
              <w:spacing w:line="300" w:lineRule="auto"/>
              <w:rPr>
                <w:rFonts w:ascii="仿宋" w:hAnsi="仿宋" w:eastAsia="仿宋"/>
                <w:sz w:val="24"/>
              </w:rPr>
            </w:pPr>
          </w:p>
        </w:tc>
        <w:tc>
          <w:tcPr>
            <w:tcW w:w="5573" w:type="dxa"/>
            <w:shd w:val="clear" w:color="auto" w:fill="auto"/>
            <w:noWrap w:val="0"/>
            <w:vAlign w:val="center"/>
          </w:tcPr>
          <w:p w14:paraId="57BF0759">
            <w:pPr>
              <w:widowControl/>
              <w:snapToGrid w:val="0"/>
              <w:spacing w:line="300" w:lineRule="auto"/>
              <w:jc w:val="left"/>
              <w:rPr>
                <w:rFonts w:ascii="仿宋" w:hAnsi="仿宋" w:eastAsia="仿宋" w:cs="Calibri"/>
                <w:sz w:val="24"/>
              </w:rPr>
            </w:pPr>
            <w:r>
              <w:rPr>
                <w:rFonts w:hint="eastAsia" w:ascii="仿宋" w:hAnsi="仿宋" w:eastAsia="仿宋" w:cs="Calibri"/>
                <w:sz w:val="24"/>
              </w:rPr>
              <w:t>（2）做好保洁服务工作记录，记录填写规范、保存完好。</w:t>
            </w:r>
          </w:p>
        </w:tc>
      </w:tr>
      <w:tr w14:paraId="21F8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00AFCC8D">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67E54535">
            <w:pPr>
              <w:widowControl/>
              <w:snapToGrid w:val="0"/>
              <w:spacing w:line="300" w:lineRule="auto"/>
              <w:rPr>
                <w:rFonts w:ascii="仿宋" w:hAnsi="仿宋" w:eastAsia="仿宋"/>
                <w:sz w:val="24"/>
              </w:rPr>
            </w:pPr>
          </w:p>
        </w:tc>
        <w:tc>
          <w:tcPr>
            <w:tcW w:w="5573" w:type="dxa"/>
            <w:shd w:val="clear" w:color="auto" w:fill="auto"/>
            <w:noWrap w:val="0"/>
            <w:vAlign w:val="center"/>
          </w:tcPr>
          <w:p w14:paraId="1B29FA99">
            <w:pPr>
              <w:widowControl/>
              <w:snapToGrid w:val="0"/>
              <w:spacing w:line="300" w:lineRule="auto"/>
              <w:jc w:val="left"/>
              <w:rPr>
                <w:rFonts w:ascii="仿宋" w:hAnsi="仿宋" w:eastAsia="仿宋" w:cs="Calibri"/>
                <w:sz w:val="24"/>
              </w:rPr>
            </w:pPr>
            <w:r>
              <w:rPr>
                <w:rFonts w:hint="eastAsia" w:ascii="仿宋" w:hAnsi="仿宋" w:eastAsia="仿宋" w:cs="Calibri"/>
                <w:sz w:val="24"/>
              </w:rPr>
              <w:t>（3）作业时采取安全防护措施，防止对作业人员或他人造成伤害。相关耗材的环保、安全性等应当符合国家相关规定要求。</w:t>
            </w:r>
          </w:p>
        </w:tc>
      </w:tr>
      <w:tr w14:paraId="35C2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284684E3">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4EEDA3DD">
            <w:pPr>
              <w:widowControl/>
              <w:snapToGrid w:val="0"/>
              <w:spacing w:line="300" w:lineRule="auto"/>
              <w:rPr>
                <w:rFonts w:ascii="仿宋" w:hAnsi="仿宋" w:eastAsia="仿宋"/>
                <w:sz w:val="24"/>
              </w:rPr>
            </w:pPr>
          </w:p>
        </w:tc>
        <w:tc>
          <w:tcPr>
            <w:tcW w:w="5573" w:type="dxa"/>
            <w:shd w:val="clear" w:color="auto" w:fill="auto"/>
            <w:noWrap w:val="0"/>
            <w:vAlign w:val="center"/>
          </w:tcPr>
          <w:p w14:paraId="6627B7A1">
            <w:pPr>
              <w:widowControl/>
              <w:snapToGrid w:val="0"/>
              <w:spacing w:line="300" w:lineRule="auto"/>
              <w:jc w:val="left"/>
              <w:rPr>
                <w:rFonts w:ascii="仿宋" w:hAnsi="仿宋" w:eastAsia="仿宋" w:cs="Calibri"/>
                <w:sz w:val="24"/>
              </w:rPr>
            </w:pPr>
            <w:r>
              <w:rPr>
                <w:rFonts w:hint="eastAsia" w:ascii="仿宋" w:hAnsi="仿宋" w:eastAsia="仿宋" w:cs="Calibri"/>
                <w:sz w:val="24"/>
              </w:rPr>
              <w:t>（4）进入保密区域时，有采购人相关人员全程在场。</w:t>
            </w:r>
          </w:p>
        </w:tc>
      </w:tr>
      <w:tr w14:paraId="6A92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774" w:type="dxa"/>
            <w:vMerge w:val="restart"/>
            <w:shd w:val="clear" w:color="auto" w:fill="auto"/>
            <w:noWrap w:val="0"/>
            <w:vAlign w:val="center"/>
          </w:tcPr>
          <w:p w14:paraId="6CAB14CA">
            <w:pPr>
              <w:widowControl/>
              <w:snapToGrid w:val="0"/>
              <w:spacing w:line="300" w:lineRule="auto"/>
              <w:jc w:val="center"/>
              <w:rPr>
                <w:rFonts w:ascii="仿宋" w:hAnsi="仿宋" w:eastAsia="仿宋"/>
                <w:sz w:val="24"/>
              </w:rPr>
            </w:pPr>
            <w:r>
              <w:rPr>
                <w:rFonts w:hint="eastAsia" w:ascii="仿宋" w:hAnsi="仿宋" w:eastAsia="仿宋"/>
                <w:sz w:val="24"/>
              </w:rPr>
              <w:t>2</w:t>
            </w:r>
          </w:p>
        </w:tc>
        <w:tc>
          <w:tcPr>
            <w:tcW w:w="1954" w:type="dxa"/>
            <w:vMerge w:val="restart"/>
            <w:shd w:val="clear" w:color="auto" w:fill="auto"/>
            <w:noWrap w:val="0"/>
            <w:vAlign w:val="center"/>
          </w:tcPr>
          <w:p w14:paraId="1B20E918">
            <w:pPr>
              <w:widowControl/>
              <w:snapToGrid w:val="0"/>
              <w:spacing w:line="300" w:lineRule="auto"/>
              <w:rPr>
                <w:rFonts w:ascii="仿宋" w:hAnsi="仿宋" w:eastAsia="仿宋"/>
                <w:sz w:val="24"/>
              </w:rPr>
            </w:pPr>
            <w:r>
              <w:rPr>
                <w:rFonts w:ascii="仿宋" w:hAnsi="仿宋" w:eastAsia="仿宋"/>
                <w:sz w:val="24"/>
              </w:rPr>
              <w:t>办公用房区域保洁</w:t>
            </w:r>
          </w:p>
        </w:tc>
        <w:tc>
          <w:tcPr>
            <w:tcW w:w="5573" w:type="dxa"/>
            <w:shd w:val="clear" w:color="auto" w:fill="auto"/>
            <w:noWrap w:val="0"/>
            <w:vAlign w:val="center"/>
          </w:tcPr>
          <w:p w14:paraId="205A40A1">
            <w:pPr>
              <w:widowControl/>
              <w:snapToGrid w:val="0"/>
              <w:spacing w:line="300" w:lineRule="auto"/>
              <w:jc w:val="left"/>
              <w:rPr>
                <w:rFonts w:ascii="仿宋" w:hAnsi="仿宋" w:eastAsia="仿宋" w:cs="Calibri"/>
                <w:sz w:val="24"/>
              </w:rPr>
            </w:pPr>
            <w:r>
              <w:rPr>
                <w:rFonts w:hint="eastAsia" w:ascii="仿宋" w:hAnsi="仿宋" w:eastAsia="仿宋" w:cs="Calibri"/>
                <w:sz w:val="24"/>
              </w:rPr>
              <w:t>（1）大厅、楼内公共通道：</w:t>
            </w:r>
          </w:p>
          <w:p w14:paraId="126BDB87">
            <w:pPr>
              <w:widowControl/>
              <w:snapToGrid w:val="0"/>
              <w:spacing w:line="300" w:lineRule="auto"/>
              <w:jc w:val="left"/>
              <w:rPr>
                <w:rFonts w:ascii="仿宋" w:hAnsi="仿宋" w:eastAsia="仿宋" w:cs="Calibri"/>
                <w:sz w:val="24"/>
              </w:rPr>
            </w:pPr>
            <w:r>
              <w:rPr>
                <w:rFonts w:hint="eastAsia" w:ascii="仿宋" w:hAnsi="仿宋" w:eastAsia="仿宋" w:cs="Calibri"/>
                <w:sz w:val="24"/>
              </w:rPr>
              <w:t>①公共通道保持干净，无异味、无杂物、无积水，每日至少开展</w:t>
            </w:r>
            <w:r>
              <w:rPr>
                <w:rFonts w:ascii="仿宋" w:hAnsi="仿宋" w:eastAsia="仿宋" w:cs="Calibri"/>
                <w:sz w:val="24"/>
              </w:rPr>
              <w:t>2</w:t>
            </w:r>
            <w:r>
              <w:rPr>
                <w:rFonts w:hint="eastAsia" w:ascii="仿宋" w:hAnsi="仿宋" w:eastAsia="仿宋" w:cs="Calibri"/>
                <w:sz w:val="24"/>
              </w:rPr>
              <w:t>次清洁作业。</w:t>
            </w:r>
          </w:p>
          <w:p w14:paraId="2B83192F">
            <w:pPr>
              <w:widowControl/>
              <w:snapToGrid w:val="0"/>
              <w:spacing w:line="300" w:lineRule="auto"/>
              <w:jc w:val="left"/>
              <w:rPr>
                <w:rFonts w:ascii="仿宋" w:hAnsi="仿宋" w:eastAsia="仿宋" w:cs="Calibri"/>
                <w:sz w:val="24"/>
              </w:rPr>
            </w:pPr>
            <w:r>
              <w:rPr>
                <w:rFonts w:hint="eastAsia" w:ascii="仿宋" w:hAnsi="仿宋" w:eastAsia="仿宋" w:cs="Calibri"/>
                <w:sz w:val="24"/>
              </w:rPr>
              <w:t>②门窗玻璃干净无尘，透光性好，每周至少开展1次清洁作业。</w:t>
            </w:r>
          </w:p>
          <w:p w14:paraId="3532D985">
            <w:pPr>
              <w:widowControl/>
              <w:snapToGrid w:val="0"/>
              <w:spacing w:line="300" w:lineRule="auto"/>
              <w:jc w:val="left"/>
              <w:rPr>
                <w:rFonts w:ascii="仿宋" w:hAnsi="仿宋" w:eastAsia="仿宋" w:cs="Calibri"/>
                <w:sz w:val="24"/>
              </w:rPr>
            </w:pPr>
            <w:r>
              <w:rPr>
                <w:rFonts w:hint="eastAsia" w:ascii="仿宋" w:hAnsi="仿宋" w:eastAsia="仿宋" w:cs="Calibri"/>
                <w:sz w:val="24"/>
              </w:rPr>
              <w:t>③指示牌干净，无污渍，每日至少开展1次清洁作业。</w:t>
            </w:r>
          </w:p>
          <w:p w14:paraId="107247D1">
            <w:pPr>
              <w:widowControl/>
              <w:snapToGrid w:val="0"/>
              <w:spacing w:line="300" w:lineRule="auto"/>
              <w:jc w:val="left"/>
              <w:rPr>
                <w:rFonts w:hint="eastAsia" w:ascii="仿宋" w:hAnsi="仿宋" w:eastAsia="仿宋" w:cs="Calibri"/>
                <w:sz w:val="24"/>
              </w:rPr>
            </w:pPr>
            <w:r>
              <w:rPr>
                <w:rFonts w:ascii="仿宋" w:hAnsi="仿宋" w:eastAsia="仿宋" w:cs="Calibri"/>
                <w:sz w:val="24"/>
              </w:rPr>
              <w:fldChar w:fldCharType="begin"/>
            </w:r>
            <w:r>
              <w:rPr>
                <w:rFonts w:ascii="仿宋" w:hAnsi="仿宋" w:eastAsia="仿宋" w:cs="Calibri"/>
                <w:sz w:val="24"/>
              </w:rPr>
              <w:instrText xml:space="preserve"> </w:instrText>
            </w:r>
            <w:r>
              <w:rPr>
                <w:rFonts w:hint="eastAsia" w:ascii="仿宋" w:hAnsi="仿宋" w:eastAsia="仿宋" w:cs="Calibri"/>
                <w:sz w:val="24"/>
              </w:rPr>
              <w:instrText xml:space="preserve">= 4 \* GB3</w:instrText>
            </w:r>
            <w:r>
              <w:rPr>
                <w:rFonts w:ascii="仿宋" w:hAnsi="仿宋" w:eastAsia="仿宋" w:cs="Calibri"/>
                <w:sz w:val="24"/>
              </w:rPr>
              <w:instrText xml:space="preserve"> </w:instrText>
            </w:r>
            <w:r>
              <w:rPr>
                <w:rFonts w:ascii="仿宋" w:hAnsi="仿宋" w:eastAsia="仿宋" w:cs="Calibri"/>
                <w:sz w:val="24"/>
              </w:rPr>
              <w:fldChar w:fldCharType="separate"/>
            </w:r>
            <w:r>
              <w:rPr>
                <w:rFonts w:hint="eastAsia" w:ascii="仿宋" w:hAnsi="仿宋" w:eastAsia="仿宋" w:cs="Calibri"/>
                <w:sz w:val="24"/>
              </w:rPr>
              <w:t>④</w:t>
            </w:r>
            <w:r>
              <w:rPr>
                <w:rFonts w:ascii="仿宋" w:hAnsi="仿宋" w:eastAsia="仿宋" w:cs="Calibri"/>
                <w:sz w:val="24"/>
              </w:rPr>
              <w:fldChar w:fldCharType="end"/>
            </w:r>
            <w:r>
              <w:rPr>
                <w:rFonts w:hint="eastAsia" w:ascii="仿宋" w:hAnsi="仿宋" w:eastAsia="仿宋" w:cs="Calibri"/>
                <w:sz w:val="24"/>
              </w:rPr>
              <w:t>监控摄像头、门禁系统等表面光亮，无尘、无斑点，每月至少开展1次清洁作业。</w:t>
            </w:r>
          </w:p>
        </w:tc>
      </w:tr>
      <w:tr w14:paraId="5EA6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53D2FC69">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3A6AEBA5">
            <w:pPr>
              <w:widowControl/>
              <w:snapToGrid w:val="0"/>
              <w:spacing w:line="300" w:lineRule="auto"/>
              <w:rPr>
                <w:rFonts w:ascii="仿宋" w:hAnsi="仿宋" w:eastAsia="仿宋"/>
                <w:sz w:val="24"/>
              </w:rPr>
            </w:pPr>
          </w:p>
        </w:tc>
        <w:tc>
          <w:tcPr>
            <w:tcW w:w="5573" w:type="dxa"/>
            <w:shd w:val="clear" w:color="auto" w:fill="auto"/>
            <w:noWrap w:val="0"/>
            <w:vAlign w:val="center"/>
          </w:tcPr>
          <w:p w14:paraId="73ABCB6A">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2</w:t>
            </w:r>
            <w:r>
              <w:rPr>
                <w:rFonts w:hint="eastAsia" w:ascii="仿宋" w:hAnsi="仿宋" w:eastAsia="仿宋" w:cs="Calibri"/>
                <w:sz w:val="24"/>
              </w:rPr>
              <w:t>）楼梯及楼梯间保持干净、无异味、无杂物、无积水，每日至少开展</w:t>
            </w:r>
            <w:r>
              <w:rPr>
                <w:rFonts w:ascii="仿宋" w:hAnsi="仿宋" w:eastAsia="仿宋" w:cs="Calibri"/>
                <w:sz w:val="24"/>
              </w:rPr>
              <w:t>2</w:t>
            </w:r>
            <w:r>
              <w:rPr>
                <w:rFonts w:hint="eastAsia" w:ascii="仿宋" w:hAnsi="仿宋" w:eastAsia="仿宋" w:cs="Calibri"/>
                <w:sz w:val="24"/>
              </w:rPr>
              <w:t>次清洁作业。</w:t>
            </w:r>
          </w:p>
        </w:tc>
      </w:tr>
      <w:tr w14:paraId="0DC2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25077D32">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0D053834">
            <w:pPr>
              <w:widowControl/>
              <w:snapToGrid w:val="0"/>
              <w:spacing w:line="300" w:lineRule="auto"/>
              <w:rPr>
                <w:rFonts w:ascii="仿宋" w:hAnsi="仿宋" w:eastAsia="仿宋"/>
                <w:sz w:val="24"/>
              </w:rPr>
            </w:pPr>
          </w:p>
        </w:tc>
        <w:tc>
          <w:tcPr>
            <w:tcW w:w="5573" w:type="dxa"/>
            <w:shd w:val="clear" w:color="auto" w:fill="auto"/>
            <w:noWrap w:val="0"/>
            <w:vAlign w:val="center"/>
          </w:tcPr>
          <w:p w14:paraId="17B2690D">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3</w:t>
            </w:r>
            <w:r>
              <w:rPr>
                <w:rFonts w:hint="eastAsia" w:ascii="仿宋" w:hAnsi="仿宋" w:eastAsia="仿宋" w:cs="Calibri"/>
                <w:sz w:val="24"/>
              </w:rPr>
              <w:t>）开水间保持干净、无异味、无杂物、无积水，每日至少开展</w:t>
            </w:r>
            <w:r>
              <w:rPr>
                <w:rFonts w:ascii="仿宋" w:hAnsi="仿宋" w:eastAsia="仿宋" w:cs="Calibri"/>
                <w:sz w:val="24"/>
              </w:rPr>
              <w:t>2</w:t>
            </w:r>
            <w:r>
              <w:rPr>
                <w:rFonts w:hint="eastAsia" w:ascii="仿宋" w:hAnsi="仿宋" w:eastAsia="仿宋" w:cs="Calibri"/>
                <w:sz w:val="24"/>
              </w:rPr>
              <w:t>次清洁作业。</w:t>
            </w:r>
          </w:p>
        </w:tc>
      </w:tr>
      <w:tr w14:paraId="384A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0131BADA">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5C3C5C22">
            <w:pPr>
              <w:widowControl/>
              <w:snapToGrid w:val="0"/>
              <w:spacing w:line="300" w:lineRule="auto"/>
              <w:rPr>
                <w:rFonts w:ascii="仿宋" w:hAnsi="仿宋" w:eastAsia="仿宋"/>
                <w:sz w:val="24"/>
              </w:rPr>
            </w:pPr>
          </w:p>
        </w:tc>
        <w:tc>
          <w:tcPr>
            <w:tcW w:w="5573" w:type="dxa"/>
            <w:shd w:val="clear" w:color="auto" w:fill="auto"/>
            <w:noWrap w:val="0"/>
            <w:vAlign w:val="center"/>
          </w:tcPr>
          <w:p w14:paraId="31EC503C">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4</w:t>
            </w:r>
            <w:r>
              <w:rPr>
                <w:rFonts w:hint="eastAsia" w:ascii="仿宋" w:hAnsi="仿宋" w:eastAsia="仿宋" w:cs="Calibri"/>
                <w:sz w:val="24"/>
              </w:rPr>
              <w:t>）作业工具间：</w:t>
            </w:r>
          </w:p>
          <w:p w14:paraId="07C8E088">
            <w:pPr>
              <w:widowControl/>
              <w:snapToGrid w:val="0"/>
              <w:spacing w:line="300" w:lineRule="auto"/>
              <w:jc w:val="left"/>
              <w:rPr>
                <w:rFonts w:ascii="仿宋" w:hAnsi="仿宋" w:eastAsia="仿宋" w:cs="Calibri"/>
                <w:sz w:val="24"/>
              </w:rPr>
            </w:pPr>
            <w:r>
              <w:rPr>
                <w:rFonts w:hint="eastAsia" w:ascii="仿宋" w:hAnsi="仿宋" w:eastAsia="仿宋" w:cs="Calibri"/>
                <w:sz w:val="24"/>
              </w:rPr>
              <w:t>①保持干净，无异味、无杂物、无积水，每日至少开展</w:t>
            </w:r>
            <w:r>
              <w:rPr>
                <w:rFonts w:ascii="仿宋" w:hAnsi="仿宋" w:eastAsia="仿宋" w:cs="Calibri"/>
                <w:sz w:val="24"/>
              </w:rPr>
              <w:t>2</w:t>
            </w:r>
            <w:r>
              <w:rPr>
                <w:rFonts w:hint="eastAsia" w:ascii="仿宋" w:hAnsi="仿宋" w:eastAsia="仿宋" w:cs="Calibri"/>
                <w:sz w:val="24"/>
              </w:rPr>
              <w:t>次清洁作业。</w:t>
            </w:r>
          </w:p>
          <w:p w14:paraId="74A3CA19">
            <w:pPr>
              <w:widowControl/>
              <w:snapToGrid w:val="0"/>
              <w:spacing w:line="300" w:lineRule="auto"/>
              <w:jc w:val="left"/>
              <w:rPr>
                <w:rFonts w:ascii="仿宋" w:hAnsi="仿宋" w:eastAsia="仿宋" w:cs="Calibri"/>
                <w:sz w:val="24"/>
              </w:rPr>
            </w:pPr>
            <w:r>
              <w:rPr>
                <w:rFonts w:hint="eastAsia" w:ascii="仿宋" w:hAnsi="仿宋" w:eastAsia="仿宋" w:cs="Calibri"/>
                <w:sz w:val="24"/>
              </w:rPr>
              <w:t>②作业工具摆放整齐有序，表面干净无渍，每日消毒。</w:t>
            </w:r>
          </w:p>
        </w:tc>
      </w:tr>
      <w:tr w14:paraId="7745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774" w:type="dxa"/>
            <w:vMerge w:val="continue"/>
            <w:shd w:val="clear" w:color="auto" w:fill="auto"/>
            <w:noWrap w:val="0"/>
            <w:vAlign w:val="center"/>
          </w:tcPr>
          <w:p w14:paraId="70307FEC">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7262C3BA">
            <w:pPr>
              <w:widowControl/>
              <w:snapToGrid w:val="0"/>
              <w:spacing w:line="300" w:lineRule="auto"/>
              <w:rPr>
                <w:rFonts w:ascii="仿宋" w:hAnsi="仿宋" w:eastAsia="仿宋"/>
                <w:sz w:val="24"/>
              </w:rPr>
            </w:pPr>
          </w:p>
        </w:tc>
        <w:tc>
          <w:tcPr>
            <w:tcW w:w="5573" w:type="dxa"/>
            <w:shd w:val="clear" w:color="auto" w:fill="auto"/>
            <w:noWrap w:val="0"/>
            <w:vAlign w:val="center"/>
          </w:tcPr>
          <w:p w14:paraId="7DA3521D">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5</w:t>
            </w:r>
            <w:r>
              <w:rPr>
                <w:rFonts w:hint="eastAsia" w:ascii="仿宋" w:hAnsi="仿宋" w:eastAsia="仿宋" w:cs="Calibri"/>
                <w:sz w:val="24"/>
              </w:rPr>
              <w:t>）公共卫生间：</w:t>
            </w:r>
          </w:p>
          <w:p w14:paraId="1F73A698">
            <w:pPr>
              <w:widowControl/>
              <w:snapToGrid w:val="0"/>
              <w:spacing w:line="300" w:lineRule="auto"/>
              <w:jc w:val="left"/>
              <w:rPr>
                <w:rFonts w:ascii="仿宋" w:hAnsi="仿宋" w:eastAsia="仿宋" w:cs="Calibri"/>
                <w:sz w:val="24"/>
              </w:rPr>
            </w:pPr>
            <w:r>
              <w:rPr>
                <w:rFonts w:hint="eastAsia" w:ascii="仿宋" w:hAnsi="仿宋" w:eastAsia="仿宋" w:cs="Calibri"/>
                <w:sz w:val="24"/>
              </w:rPr>
              <w:t>①保持干净，无异味，垃圾无溢出，每日至少开展</w:t>
            </w:r>
            <w:r>
              <w:rPr>
                <w:rFonts w:ascii="仿宋" w:hAnsi="仿宋" w:eastAsia="仿宋" w:cs="Calibri"/>
                <w:sz w:val="24"/>
              </w:rPr>
              <w:t>2</w:t>
            </w:r>
            <w:r>
              <w:rPr>
                <w:rFonts w:hint="eastAsia" w:ascii="仿宋" w:hAnsi="仿宋" w:eastAsia="仿宋" w:cs="Calibri"/>
                <w:sz w:val="24"/>
              </w:rPr>
              <w:t>次清洁作业，并循环保洁。</w:t>
            </w:r>
          </w:p>
          <w:p w14:paraId="27D9D394">
            <w:pPr>
              <w:widowControl/>
              <w:snapToGrid w:val="0"/>
              <w:spacing w:line="300" w:lineRule="auto"/>
              <w:jc w:val="left"/>
              <w:rPr>
                <w:rFonts w:ascii="仿宋" w:hAnsi="仿宋" w:eastAsia="仿宋" w:cs="Calibri"/>
                <w:sz w:val="24"/>
              </w:rPr>
            </w:pPr>
            <w:r>
              <w:rPr>
                <w:rFonts w:hint="eastAsia" w:ascii="仿宋" w:hAnsi="仿宋" w:eastAsia="仿宋" w:cs="Calibri"/>
                <w:sz w:val="24"/>
              </w:rPr>
              <w:t xml:space="preserve"> ②及时补充厕纸等必要用品。</w:t>
            </w:r>
          </w:p>
        </w:tc>
      </w:tr>
      <w:tr w14:paraId="6888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774" w:type="dxa"/>
            <w:vMerge w:val="continue"/>
            <w:shd w:val="clear" w:color="auto" w:fill="auto"/>
            <w:noWrap w:val="0"/>
            <w:vAlign w:val="center"/>
          </w:tcPr>
          <w:p w14:paraId="44A8C67F">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062DCE36">
            <w:pPr>
              <w:widowControl/>
              <w:snapToGrid w:val="0"/>
              <w:spacing w:line="300" w:lineRule="auto"/>
              <w:rPr>
                <w:rFonts w:ascii="仿宋" w:hAnsi="仿宋" w:eastAsia="仿宋"/>
                <w:sz w:val="24"/>
              </w:rPr>
            </w:pPr>
          </w:p>
        </w:tc>
        <w:tc>
          <w:tcPr>
            <w:tcW w:w="5573" w:type="dxa"/>
            <w:shd w:val="clear" w:color="auto" w:fill="auto"/>
            <w:noWrap w:val="0"/>
            <w:vAlign w:val="center"/>
          </w:tcPr>
          <w:p w14:paraId="22DFF4C7">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6</w:t>
            </w:r>
            <w:r>
              <w:rPr>
                <w:rFonts w:hint="eastAsia" w:ascii="仿宋" w:hAnsi="仿宋" w:eastAsia="仿宋" w:cs="Calibri"/>
                <w:sz w:val="24"/>
              </w:rPr>
              <w:t>）电梯轿厢：</w:t>
            </w:r>
          </w:p>
          <w:p w14:paraId="18CFE0A6">
            <w:pPr>
              <w:widowControl/>
              <w:snapToGrid w:val="0"/>
              <w:spacing w:line="300" w:lineRule="auto"/>
              <w:jc w:val="left"/>
              <w:rPr>
                <w:rFonts w:ascii="仿宋" w:hAnsi="仿宋" w:eastAsia="仿宋" w:cs="Calibri"/>
                <w:sz w:val="24"/>
              </w:rPr>
            </w:pPr>
            <w:r>
              <w:rPr>
                <w:rFonts w:hint="eastAsia" w:ascii="仿宋" w:hAnsi="仿宋" w:eastAsia="仿宋" w:cs="Calibri"/>
                <w:sz w:val="24"/>
              </w:rPr>
              <w:t>①保持干净，无污渍、无粘贴物、无异味，每日至少开展</w:t>
            </w:r>
            <w:r>
              <w:rPr>
                <w:rFonts w:ascii="仿宋" w:hAnsi="仿宋" w:eastAsia="仿宋" w:cs="Calibri"/>
                <w:sz w:val="24"/>
              </w:rPr>
              <w:t>2</w:t>
            </w:r>
            <w:r>
              <w:rPr>
                <w:rFonts w:hint="eastAsia" w:ascii="仿宋" w:hAnsi="仿宋" w:eastAsia="仿宋" w:cs="Calibri"/>
                <w:sz w:val="24"/>
              </w:rPr>
              <w:t>次清洁作业。</w:t>
            </w:r>
          </w:p>
          <w:p w14:paraId="4FEFA95E">
            <w:pPr>
              <w:widowControl/>
              <w:snapToGrid w:val="0"/>
              <w:spacing w:line="300" w:lineRule="auto"/>
              <w:jc w:val="left"/>
              <w:rPr>
                <w:rFonts w:ascii="仿宋" w:hAnsi="仿宋" w:eastAsia="仿宋" w:cs="Calibri"/>
                <w:sz w:val="24"/>
              </w:rPr>
            </w:pPr>
            <w:r>
              <w:rPr>
                <w:rFonts w:hint="eastAsia" w:ascii="仿宋" w:hAnsi="仿宋" w:eastAsia="仿宋" w:cs="Calibri"/>
                <w:sz w:val="24"/>
              </w:rPr>
              <w:t>②灯具、操作指示板明亮。</w:t>
            </w:r>
          </w:p>
        </w:tc>
      </w:tr>
      <w:tr w14:paraId="5E5D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1986E873">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0FEBB1E5">
            <w:pPr>
              <w:widowControl/>
              <w:snapToGrid w:val="0"/>
              <w:spacing w:line="300" w:lineRule="auto"/>
              <w:rPr>
                <w:rFonts w:ascii="仿宋" w:hAnsi="仿宋" w:eastAsia="仿宋"/>
                <w:sz w:val="24"/>
              </w:rPr>
            </w:pPr>
          </w:p>
        </w:tc>
        <w:tc>
          <w:tcPr>
            <w:tcW w:w="5573" w:type="dxa"/>
            <w:shd w:val="clear" w:color="auto" w:fill="auto"/>
            <w:noWrap w:val="0"/>
            <w:vAlign w:val="center"/>
          </w:tcPr>
          <w:p w14:paraId="6FDF156C">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7</w:t>
            </w:r>
            <w:r>
              <w:rPr>
                <w:rFonts w:hint="eastAsia" w:ascii="仿宋" w:hAnsi="仿宋" w:eastAsia="仿宋" w:cs="Calibri"/>
                <w:sz w:val="24"/>
              </w:rPr>
              <w:t>）平台、屋顶、天沟保持干净，有杂物及时清扫，每2周至少开展1次清洁作业。</w:t>
            </w:r>
          </w:p>
        </w:tc>
      </w:tr>
      <w:tr w14:paraId="37AB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43204FF3">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33CE9D8A">
            <w:pPr>
              <w:widowControl/>
              <w:snapToGrid w:val="0"/>
              <w:spacing w:line="300" w:lineRule="auto"/>
              <w:rPr>
                <w:rFonts w:ascii="仿宋" w:hAnsi="仿宋" w:eastAsia="仿宋"/>
                <w:sz w:val="24"/>
              </w:rPr>
            </w:pPr>
          </w:p>
        </w:tc>
        <w:tc>
          <w:tcPr>
            <w:tcW w:w="5573" w:type="dxa"/>
            <w:shd w:val="clear" w:color="auto" w:fill="auto"/>
            <w:noWrap w:val="0"/>
            <w:vAlign w:val="center"/>
          </w:tcPr>
          <w:p w14:paraId="529AFA22">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8</w:t>
            </w:r>
            <w:r>
              <w:rPr>
                <w:rFonts w:hint="eastAsia" w:ascii="仿宋" w:hAnsi="仿宋" w:eastAsia="仿宋" w:cs="Calibri"/>
                <w:sz w:val="24"/>
              </w:rPr>
              <w:t>）石材地面、内墙做好养护工作，每季度开展1次清洁作业。</w:t>
            </w:r>
          </w:p>
        </w:tc>
      </w:tr>
      <w:tr w14:paraId="5043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3F01C691">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3868D147">
            <w:pPr>
              <w:widowControl/>
              <w:snapToGrid w:val="0"/>
              <w:spacing w:line="300" w:lineRule="auto"/>
              <w:rPr>
                <w:rFonts w:ascii="仿宋" w:hAnsi="仿宋" w:eastAsia="仿宋"/>
                <w:sz w:val="24"/>
              </w:rPr>
            </w:pPr>
          </w:p>
        </w:tc>
        <w:tc>
          <w:tcPr>
            <w:tcW w:w="5573" w:type="dxa"/>
            <w:shd w:val="clear" w:color="auto" w:fill="auto"/>
            <w:noWrap w:val="0"/>
            <w:vAlign w:val="center"/>
          </w:tcPr>
          <w:p w14:paraId="144F6468">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9</w:t>
            </w:r>
            <w:r>
              <w:rPr>
                <w:rFonts w:hint="eastAsia" w:ascii="仿宋" w:hAnsi="仿宋" w:eastAsia="仿宋" w:cs="Calibri"/>
                <w:sz w:val="24"/>
              </w:rPr>
              <w:t>）地毯干净、无油渍、无污渍、无褪色，每月至少开展1次清洁作业。</w:t>
            </w:r>
          </w:p>
        </w:tc>
      </w:tr>
      <w:tr w14:paraId="4C7B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74" w:type="dxa"/>
            <w:vMerge w:val="continue"/>
            <w:shd w:val="clear" w:color="auto" w:fill="auto"/>
            <w:noWrap w:val="0"/>
            <w:vAlign w:val="center"/>
          </w:tcPr>
          <w:p w14:paraId="1086C7FA">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1911F565">
            <w:pPr>
              <w:widowControl/>
              <w:snapToGrid w:val="0"/>
              <w:spacing w:line="300" w:lineRule="auto"/>
              <w:rPr>
                <w:rFonts w:ascii="仿宋" w:hAnsi="仿宋" w:eastAsia="仿宋"/>
                <w:sz w:val="24"/>
              </w:rPr>
            </w:pPr>
          </w:p>
        </w:tc>
        <w:tc>
          <w:tcPr>
            <w:tcW w:w="5573" w:type="dxa"/>
            <w:shd w:val="clear" w:color="auto" w:fill="auto"/>
            <w:noWrap w:val="0"/>
            <w:vAlign w:val="center"/>
          </w:tcPr>
          <w:p w14:paraId="394A6493">
            <w:pPr>
              <w:widowControl/>
              <w:snapToGrid w:val="0"/>
              <w:spacing w:line="300" w:lineRule="auto"/>
              <w:jc w:val="left"/>
              <w:rPr>
                <w:rFonts w:hint="eastAsia" w:ascii="仿宋" w:hAnsi="仿宋" w:eastAsia="仿宋"/>
                <w:sz w:val="24"/>
              </w:rPr>
            </w:pPr>
            <w:r>
              <w:rPr>
                <w:rFonts w:hint="eastAsia" w:ascii="仿宋" w:hAnsi="仿宋" w:eastAsia="仿宋" w:cs="Calibri"/>
                <w:sz w:val="24"/>
              </w:rPr>
              <w:t>（1</w:t>
            </w:r>
            <w:r>
              <w:rPr>
                <w:rFonts w:ascii="仿宋" w:hAnsi="仿宋" w:eastAsia="仿宋" w:cs="Calibri"/>
                <w:sz w:val="24"/>
              </w:rPr>
              <w:t>0</w:t>
            </w:r>
            <w:r>
              <w:rPr>
                <w:rFonts w:hint="eastAsia" w:ascii="仿宋" w:hAnsi="仿宋" w:eastAsia="仿宋" w:cs="Calibri"/>
                <w:sz w:val="24"/>
              </w:rPr>
              <w:t>）</w:t>
            </w:r>
            <w:r>
              <w:rPr>
                <w:rFonts w:hint="eastAsia" w:ascii="仿宋" w:hAnsi="仿宋" w:eastAsia="仿宋"/>
                <w:sz w:val="24"/>
              </w:rPr>
              <w:t>洗衣房、洗浴房、盥洗间、共享厨房每天不少于</w:t>
            </w:r>
            <w:r>
              <w:rPr>
                <w:rFonts w:ascii="仿宋" w:hAnsi="仿宋" w:eastAsia="仿宋"/>
                <w:sz w:val="24"/>
              </w:rPr>
              <w:t>2</w:t>
            </w:r>
            <w:r>
              <w:rPr>
                <w:rFonts w:hint="eastAsia" w:ascii="仿宋" w:hAnsi="仿宋" w:eastAsia="仿宋"/>
                <w:sz w:val="24"/>
              </w:rPr>
              <w:t>次保洁</w:t>
            </w:r>
          </w:p>
        </w:tc>
      </w:tr>
      <w:tr w14:paraId="0AC7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774" w:type="dxa"/>
            <w:vMerge w:val="restart"/>
            <w:shd w:val="clear" w:color="auto" w:fill="auto"/>
            <w:noWrap w:val="0"/>
            <w:vAlign w:val="center"/>
          </w:tcPr>
          <w:p w14:paraId="6415F794">
            <w:pPr>
              <w:widowControl/>
              <w:snapToGrid w:val="0"/>
              <w:spacing w:line="300" w:lineRule="auto"/>
              <w:jc w:val="center"/>
              <w:rPr>
                <w:rFonts w:ascii="仿宋" w:hAnsi="仿宋" w:eastAsia="仿宋"/>
                <w:sz w:val="24"/>
              </w:rPr>
            </w:pPr>
            <w:r>
              <w:rPr>
                <w:rFonts w:hint="eastAsia" w:ascii="仿宋" w:hAnsi="仿宋" w:eastAsia="仿宋"/>
                <w:sz w:val="24"/>
              </w:rPr>
              <w:t>3</w:t>
            </w:r>
          </w:p>
        </w:tc>
        <w:tc>
          <w:tcPr>
            <w:tcW w:w="1954" w:type="dxa"/>
            <w:vMerge w:val="restart"/>
            <w:shd w:val="clear" w:color="auto" w:fill="auto"/>
            <w:noWrap w:val="0"/>
            <w:vAlign w:val="center"/>
          </w:tcPr>
          <w:p w14:paraId="12C777EB">
            <w:pPr>
              <w:widowControl/>
              <w:snapToGrid w:val="0"/>
              <w:spacing w:line="300" w:lineRule="auto"/>
              <w:rPr>
                <w:rFonts w:ascii="仿宋" w:hAnsi="仿宋" w:eastAsia="仿宋"/>
                <w:sz w:val="24"/>
              </w:rPr>
            </w:pPr>
            <w:r>
              <w:rPr>
                <w:rFonts w:ascii="仿宋" w:hAnsi="仿宋" w:eastAsia="仿宋"/>
                <w:sz w:val="24"/>
              </w:rPr>
              <w:t>公共场地区域保洁</w:t>
            </w:r>
          </w:p>
        </w:tc>
        <w:tc>
          <w:tcPr>
            <w:tcW w:w="5573" w:type="dxa"/>
            <w:shd w:val="clear" w:color="auto" w:fill="auto"/>
            <w:noWrap w:val="0"/>
            <w:vAlign w:val="center"/>
          </w:tcPr>
          <w:p w14:paraId="24EF39C1">
            <w:pPr>
              <w:widowControl/>
              <w:snapToGrid w:val="0"/>
              <w:spacing w:line="300" w:lineRule="auto"/>
              <w:jc w:val="left"/>
              <w:rPr>
                <w:rFonts w:ascii="仿宋" w:hAnsi="仿宋" w:eastAsia="仿宋"/>
                <w:sz w:val="24"/>
              </w:rPr>
            </w:pPr>
            <w:r>
              <w:rPr>
                <w:rFonts w:hint="eastAsia" w:ascii="仿宋" w:hAnsi="仿宋" w:eastAsia="仿宋" w:cs="Calibri"/>
                <w:sz w:val="24"/>
              </w:rPr>
              <w:t>（1）每日清扫道路地面、停车场等公共区域2次，保持干净、无杂物、无积水。</w:t>
            </w:r>
          </w:p>
        </w:tc>
      </w:tr>
      <w:tr w14:paraId="0A4B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3709756A">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28D838A2">
            <w:pPr>
              <w:widowControl/>
              <w:snapToGrid w:val="0"/>
              <w:spacing w:line="300" w:lineRule="auto"/>
              <w:rPr>
                <w:rFonts w:ascii="仿宋" w:hAnsi="仿宋" w:eastAsia="仿宋"/>
                <w:sz w:val="24"/>
              </w:rPr>
            </w:pPr>
          </w:p>
        </w:tc>
        <w:tc>
          <w:tcPr>
            <w:tcW w:w="5573" w:type="dxa"/>
            <w:shd w:val="clear" w:color="auto" w:fill="auto"/>
            <w:noWrap w:val="0"/>
            <w:vAlign w:val="center"/>
          </w:tcPr>
          <w:p w14:paraId="10DD6933">
            <w:pPr>
              <w:widowControl/>
              <w:snapToGrid w:val="0"/>
              <w:spacing w:line="300" w:lineRule="auto"/>
              <w:jc w:val="left"/>
              <w:rPr>
                <w:rFonts w:ascii="仿宋" w:hAnsi="仿宋" w:eastAsia="仿宋"/>
                <w:sz w:val="24"/>
              </w:rPr>
            </w:pPr>
            <w:r>
              <w:rPr>
                <w:rFonts w:hint="eastAsia" w:ascii="仿宋" w:hAnsi="仿宋" w:eastAsia="仿宋" w:cs="Calibri"/>
                <w:sz w:val="24"/>
              </w:rPr>
              <w:t>（</w:t>
            </w:r>
            <w:r>
              <w:rPr>
                <w:rFonts w:ascii="仿宋" w:hAnsi="仿宋" w:eastAsia="仿宋" w:cs="Calibri"/>
                <w:sz w:val="24"/>
              </w:rPr>
              <w:t>2</w:t>
            </w:r>
            <w:r>
              <w:rPr>
                <w:rFonts w:hint="eastAsia" w:ascii="仿宋" w:hAnsi="仿宋" w:eastAsia="仿宋" w:cs="Calibri"/>
                <w:sz w:val="24"/>
              </w:rPr>
              <w:t>）各种路标、宣传栏等保持干净，每月至少开展</w:t>
            </w:r>
            <w:r>
              <w:rPr>
                <w:rFonts w:ascii="仿宋" w:hAnsi="仿宋" w:eastAsia="仿宋" w:cs="Calibri"/>
                <w:sz w:val="24"/>
              </w:rPr>
              <w:t>2</w:t>
            </w:r>
            <w:r>
              <w:rPr>
                <w:rFonts w:hint="eastAsia" w:ascii="仿宋" w:hAnsi="仿宋" w:eastAsia="仿宋" w:cs="Calibri"/>
                <w:sz w:val="24"/>
              </w:rPr>
              <w:t>次清洁作业。</w:t>
            </w:r>
          </w:p>
        </w:tc>
      </w:tr>
      <w:tr w14:paraId="0270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4" w:type="dxa"/>
            <w:vMerge w:val="continue"/>
            <w:shd w:val="clear" w:color="auto" w:fill="auto"/>
            <w:noWrap w:val="0"/>
            <w:vAlign w:val="center"/>
          </w:tcPr>
          <w:p w14:paraId="5562B2B6">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55721DE7">
            <w:pPr>
              <w:widowControl/>
              <w:snapToGrid w:val="0"/>
              <w:spacing w:line="300" w:lineRule="auto"/>
              <w:rPr>
                <w:rFonts w:ascii="仿宋" w:hAnsi="仿宋" w:eastAsia="仿宋"/>
                <w:sz w:val="24"/>
              </w:rPr>
            </w:pPr>
          </w:p>
        </w:tc>
        <w:tc>
          <w:tcPr>
            <w:tcW w:w="5573" w:type="dxa"/>
            <w:shd w:val="clear" w:color="auto" w:fill="auto"/>
            <w:noWrap w:val="0"/>
            <w:vAlign w:val="center"/>
          </w:tcPr>
          <w:p w14:paraId="4AC321C6">
            <w:pPr>
              <w:widowControl/>
              <w:snapToGrid w:val="0"/>
              <w:spacing w:line="300" w:lineRule="auto"/>
              <w:jc w:val="left"/>
              <w:rPr>
                <w:rFonts w:ascii="仿宋" w:hAnsi="仿宋" w:eastAsia="仿宋"/>
                <w:sz w:val="24"/>
              </w:rPr>
            </w:pPr>
            <w:r>
              <w:rPr>
                <w:rFonts w:hint="eastAsia" w:ascii="仿宋" w:hAnsi="仿宋" w:eastAsia="仿宋" w:cs="Calibri"/>
                <w:sz w:val="24"/>
              </w:rPr>
              <w:t>（</w:t>
            </w:r>
            <w:r>
              <w:rPr>
                <w:rFonts w:ascii="仿宋" w:hAnsi="仿宋" w:eastAsia="仿宋" w:cs="Calibri"/>
                <w:sz w:val="24"/>
              </w:rPr>
              <w:t>3</w:t>
            </w:r>
            <w:r>
              <w:rPr>
                <w:rFonts w:hint="eastAsia" w:ascii="仿宋" w:hAnsi="仿宋" w:eastAsia="仿宋" w:cs="Calibri"/>
                <w:sz w:val="24"/>
              </w:rPr>
              <w:t>）清洁室外照明设备，每月至少开展</w:t>
            </w:r>
            <w:r>
              <w:rPr>
                <w:rFonts w:ascii="仿宋" w:hAnsi="仿宋" w:eastAsia="仿宋" w:cs="Calibri"/>
                <w:sz w:val="24"/>
              </w:rPr>
              <w:t>2</w:t>
            </w:r>
            <w:r>
              <w:rPr>
                <w:rFonts w:hint="eastAsia" w:ascii="仿宋" w:hAnsi="仿宋" w:eastAsia="仿宋" w:cs="Calibri"/>
                <w:sz w:val="24"/>
              </w:rPr>
              <w:t>次清洁作业。</w:t>
            </w:r>
          </w:p>
        </w:tc>
      </w:tr>
      <w:tr w14:paraId="5E32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774" w:type="dxa"/>
            <w:vMerge w:val="continue"/>
            <w:shd w:val="clear" w:color="auto" w:fill="auto"/>
            <w:noWrap w:val="0"/>
            <w:vAlign w:val="center"/>
          </w:tcPr>
          <w:p w14:paraId="28695BD0">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454E6279">
            <w:pPr>
              <w:widowControl/>
              <w:snapToGrid w:val="0"/>
              <w:spacing w:line="300" w:lineRule="auto"/>
              <w:rPr>
                <w:rFonts w:ascii="仿宋" w:hAnsi="仿宋" w:eastAsia="仿宋"/>
                <w:sz w:val="24"/>
              </w:rPr>
            </w:pPr>
          </w:p>
        </w:tc>
        <w:tc>
          <w:tcPr>
            <w:tcW w:w="5573" w:type="dxa"/>
            <w:shd w:val="clear" w:color="auto" w:fill="auto"/>
            <w:noWrap w:val="0"/>
            <w:vAlign w:val="center"/>
          </w:tcPr>
          <w:p w14:paraId="1DC3E0FE">
            <w:pPr>
              <w:widowControl/>
              <w:snapToGrid w:val="0"/>
              <w:spacing w:line="300" w:lineRule="auto"/>
              <w:jc w:val="left"/>
              <w:rPr>
                <w:rFonts w:ascii="仿宋" w:hAnsi="仿宋" w:eastAsia="仿宋" w:cs="Calibri"/>
                <w:sz w:val="24"/>
              </w:rPr>
            </w:pPr>
            <w:r>
              <w:rPr>
                <w:rFonts w:hint="eastAsia" w:ascii="仿宋" w:hAnsi="仿宋" w:eastAsia="仿宋" w:cs="Calibri"/>
                <w:sz w:val="24"/>
              </w:rPr>
              <w:t>（</w:t>
            </w:r>
            <w:r>
              <w:rPr>
                <w:rFonts w:ascii="仿宋" w:hAnsi="仿宋" w:eastAsia="仿宋" w:cs="Calibri"/>
                <w:sz w:val="24"/>
              </w:rPr>
              <w:t>4</w:t>
            </w:r>
            <w:r>
              <w:rPr>
                <w:rFonts w:hint="eastAsia" w:ascii="仿宋" w:hAnsi="仿宋" w:eastAsia="仿宋" w:cs="Calibri"/>
                <w:sz w:val="24"/>
              </w:rPr>
              <w:t>）</w:t>
            </w:r>
            <w:r>
              <w:rPr>
                <w:rFonts w:hint="eastAsia" w:ascii="仿宋" w:hAnsi="仿宋" w:eastAsia="仿宋"/>
                <w:sz w:val="24"/>
              </w:rPr>
              <w:t>办公区外立面</w:t>
            </w:r>
            <w:r>
              <w:rPr>
                <w:rFonts w:hint="eastAsia" w:ascii="仿宋" w:hAnsi="仿宋" w:eastAsia="仿宋" w:cs="Calibri"/>
                <w:sz w:val="24"/>
              </w:rPr>
              <w:t>定期</w:t>
            </w:r>
            <w:r>
              <w:rPr>
                <w:rFonts w:hint="eastAsia" w:ascii="仿宋" w:hAnsi="仿宋" w:eastAsia="仿宋"/>
                <w:sz w:val="24"/>
              </w:rPr>
              <w:t>清洗、2米以上外窗玻璃擦拭，每年</w:t>
            </w:r>
            <w:r>
              <w:rPr>
                <w:rFonts w:hint="eastAsia" w:ascii="仿宋" w:hAnsi="仿宋" w:eastAsia="仿宋" w:cs="Calibri"/>
                <w:sz w:val="24"/>
              </w:rPr>
              <w:t>至少开展</w:t>
            </w:r>
            <w:r>
              <w:rPr>
                <w:rFonts w:hint="eastAsia" w:ascii="仿宋" w:hAnsi="仿宋" w:eastAsia="仿宋"/>
                <w:sz w:val="24"/>
              </w:rPr>
              <w:t>1次清洗。</w:t>
            </w:r>
          </w:p>
        </w:tc>
      </w:tr>
      <w:tr w14:paraId="0F7C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restart"/>
            <w:shd w:val="clear" w:color="auto" w:fill="auto"/>
            <w:noWrap w:val="0"/>
            <w:vAlign w:val="center"/>
          </w:tcPr>
          <w:p w14:paraId="2A55CCC8">
            <w:pPr>
              <w:widowControl/>
              <w:snapToGrid w:val="0"/>
              <w:spacing w:line="300" w:lineRule="auto"/>
              <w:jc w:val="center"/>
              <w:rPr>
                <w:rFonts w:ascii="仿宋" w:hAnsi="仿宋" w:eastAsia="仿宋"/>
                <w:sz w:val="24"/>
              </w:rPr>
            </w:pPr>
            <w:r>
              <w:rPr>
                <w:rFonts w:hint="eastAsia" w:ascii="仿宋" w:hAnsi="仿宋" w:eastAsia="仿宋"/>
                <w:sz w:val="24"/>
              </w:rPr>
              <w:t>4</w:t>
            </w:r>
          </w:p>
        </w:tc>
        <w:tc>
          <w:tcPr>
            <w:tcW w:w="1954" w:type="dxa"/>
            <w:vMerge w:val="restart"/>
            <w:shd w:val="clear" w:color="auto" w:fill="auto"/>
            <w:noWrap w:val="0"/>
            <w:vAlign w:val="center"/>
          </w:tcPr>
          <w:p w14:paraId="206F6072">
            <w:pPr>
              <w:widowControl/>
              <w:snapToGrid w:val="0"/>
              <w:spacing w:line="300" w:lineRule="auto"/>
              <w:rPr>
                <w:rFonts w:ascii="仿宋" w:hAnsi="仿宋" w:eastAsia="仿宋"/>
                <w:sz w:val="24"/>
              </w:rPr>
            </w:pPr>
            <w:r>
              <w:rPr>
                <w:rFonts w:ascii="仿宋" w:hAnsi="仿宋" w:eastAsia="仿宋"/>
                <w:sz w:val="24"/>
              </w:rPr>
              <w:t>垃圾处理</w:t>
            </w:r>
          </w:p>
        </w:tc>
        <w:tc>
          <w:tcPr>
            <w:tcW w:w="5573" w:type="dxa"/>
            <w:shd w:val="clear" w:color="auto" w:fill="auto"/>
            <w:noWrap w:val="0"/>
            <w:vAlign w:val="center"/>
          </w:tcPr>
          <w:p w14:paraId="184DA78D">
            <w:pPr>
              <w:widowControl/>
              <w:snapToGrid w:val="0"/>
              <w:spacing w:line="300" w:lineRule="auto"/>
              <w:jc w:val="left"/>
              <w:rPr>
                <w:rFonts w:ascii="仿宋" w:hAnsi="仿宋" w:eastAsia="仿宋" w:cs="Calibri"/>
                <w:sz w:val="24"/>
              </w:rPr>
            </w:pPr>
            <w:r>
              <w:rPr>
                <w:rFonts w:hint="eastAsia" w:ascii="仿宋" w:hAnsi="仿宋" w:eastAsia="仿宋" w:cs="Calibri"/>
                <w:sz w:val="24"/>
              </w:rPr>
              <w:t>（1）在指定位置配置及摆放分类垃圾桶，并在显著处张贴垃圾分类标识。分类垃圾桶和垃圾分类标识根据三亚市的要求设置。</w:t>
            </w:r>
          </w:p>
        </w:tc>
      </w:tr>
      <w:tr w14:paraId="2109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554B38E9">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24D8E1D1">
            <w:pPr>
              <w:widowControl/>
              <w:snapToGrid w:val="0"/>
              <w:spacing w:line="300" w:lineRule="auto"/>
              <w:rPr>
                <w:rFonts w:ascii="仿宋" w:hAnsi="仿宋" w:eastAsia="仿宋"/>
                <w:sz w:val="24"/>
              </w:rPr>
            </w:pPr>
          </w:p>
        </w:tc>
        <w:tc>
          <w:tcPr>
            <w:tcW w:w="5573" w:type="dxa"/>
            <w:shd w:val="clear" w:color="auto" w:fill="auto"/>
            <w:noWrap w:val="0"/>
            <w:vAlign w:val="center"/>
          </w:tcPr>
          <w:p w14:paraId="460F60B2">
            <w:pPr>
              <w:widowControl/>
              <w:snapToGrid w:val="0"/>
              <w:spacing w:line="300" w:lineRule="auto"/>
              <w:ind w:firstLine="240" w:firstLineChars="100"/>
              <w:jc w:val="left"/>
              <w:rPr>
                <w:rFonts w:ascii="仿宋" w:hAnsi="仿宋" w:eastAsia="仿宋" w:cs="Calibri"/>
                <w:sz w:val="24"/>
              </w:rPr>
            </w:pPr>
            <w:r>
              <w:rPr>
                <w:rFonts w:hint="eastAsia" w:ascii="仿宋" w:hAnsi="仿宋" w:eastAsia="仿宋" w:cs="Calibri"/>
                <w:sz w:val="24"/>
              </w:rPr>
              <w:t>（2）桶身表面干净无污渍，每日开展至少1次清洁作业。</w:t>
            </w:r>
          </w:p>
        </w:tc>
      </w:tr>
      <w:tr w14:paraId="7A2B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06CB5852">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6B64DAA1">
            <w:pPr>
              <w:widowControl/>
              <w:snapToGrid w:val="0"/>
              <w:spacing w:line="300" w:lineRule="auto"/>
              <w:rPr>
                <w:rFonts w:ascii="仿宋" w:hAnsi="仿宋" w:eastAsia="仿宋"/>
                <w:sz w:val="24"/>
              </w:rPr>
            </w:pPr>
          </w:p>
        </w:tc>
        <w:tc>
          <w:tcPr>
            <w:tcW w:w="5573" w:type="dxa"/>
            <w:shd w:val="clear" w:color="auto" w:fill="auto"/>
            <w:noWrap w:val="0"/>
            <w:vAlign w:val="center"/>
          </w:tcPr>
          <w:p w14:paraId="02B247A0">
            <w:pPr>
              <w:widowControl/>
              <w:snapToGrid w:val="0"/>
              <w:spacing w:line="300" w:lineRule="auto"/>
              <w:jc w:val="left"/>
              <w:rPr>
                <w:rFonts w:ascii="仿宋" w:hAnsi="仿宋" w:eastAsia="仿宋" w:cs="Calibri"/>
                <w:sz w:val="24"/>
              </w:rPr>
            </w:pPr>
            <w:r>
              <w:rPr>
                <w:rFonts w:hint="eastAsia" w:ascii="仿宋" w:hAnsi="仿宋" w:eastAsia="仿宋" w:cs="Calibri"/>
                <w:sz w:val="24"/>
              </w:rPr>
              <w:t>（3）垃圾中转房保持整洁，无明显异味，每日至少开展</w:t>
            </w:r>
            <w:r>
              <w:rPr>
                <w:rFonts w:ascii="仿宋" w:hAnsi="仿宋" w:eastAsia="仿宋" w:cs="Calibri"/>
                <w:sz w:val="24"/>
              </w:rPr>
              <w:t>2</w:t>
            </w:r>
            <w:r>
              <w:rPr>
                <w:rFonts w:hint="eastAsia" w:ascii="仿宋" w:hAnsi="仿宋" w:eastAsia="仿宋" w:cs="Calibri"/>
                <w:sz w:val="24"/>
              </w:rPr>
              <w:t>次清洁作业。</w:t>
            </w:r>
          </w:p>
        </w:tc>
      </w:tr>
      <w:tr w14:paraId="46F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016BC46C">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14077F46">
            <w:pPr>
              <w:widowControl/>
              <w:snapToGrid w:val="0"/>
              <w:spacing w:line="300" w:lineRule="auto"/>
              <w:rPr>
                <w:rFonts w:ascii="仿宋" w:hAnsi="仿宋" w:eastAsia="仿宋"/>
                <w:sz w:val="24"/>
              </w:rPr>
            </w:pPr>
          </w:p>
        </w:tc>
        <w:tc>
          <w:tcPr>
            <w:tcW w:w="5573" w:type="dxa"/>
            <w:shd w:val="clear" w:color="auto" w:fill="auto"/>
            <w:noWrap w:val="0"/>
            <w:vAlign w:val="center"/>
          </w:tcPr>
          <w:p w14:paraId="02CBA8C7">
            <w:pPr>
              <w:widowControl/>
              <w:snapToGrid w:val="0"/>
              <w:spacing w:line="300" w:lineRule="auto"/>
              <w:jc w:val="left"/>
              <w:rPr>
                <w:rFonts w:ascii="仿宋" w:hAnsi="仿宋" w:eastAsia="仿宋" w:cs="Calibri"/>
                <w:sz w:val="24"/>
              </w:rPr>
            </w:pPr>
            <w:r>
              <w:rPr>
                <w:rFonts w:hint="eastAsia" w:ascii="仿宋" w:hAnsi="仿宋" w:eastAsia="仿宋" w:cs="Calibri"/>
                <w:sz w:val="24"/>
              </w:rPr>
              <w:t>（4）化粪池清掏，无明显异味，每学期至少开展1次清洁作业。</w:t>
            </w:r>
          </w:p>
        </w:tc>
      </w:tr>
      <w:tr w14:paraId="6741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7D750A93">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13834687">
            <w:pPr>
              <w:widowControl/>
              <w:snapToGrid w:val="0"/>
              <w:spacing w:line="300" w:lineRule="auto"/>
              <w:rPr>
                <w:rFonts w:ascii="仿宋" w:hAnsi="仿宋" w:eastAsia="仿宋"/>
                <w:sz w:val="24"/>
              </w:rPr>
            </w:pPr>
          </w:p>
        </w:tc>
        <w:tc>
          <w:tcPr>
            <w:tcW w:w="5573" w:type="dxa"/>
            <w:shd w:val="clear" w:color="auto" w:fill="auto"/>
            <w:noWrap w:val="0"/>
            <w:vAlign w:val="center"/>
          </w:tcPr>
          <w:p w14:paraId="544F1E9A">
            <w:pPr>
              <w:widowControl/>
              <w:snapToGrid w:val="0"/>
              <w:spacing w:line="300" w:lineRule="auto"/>
              <w:jc w:val="left"/>
              <w:rPr>
                <w:rFonts w:ascii="仿宋" w:hAnsi="仿宋" w:eastAsia="仿宋" w:cs="Calibri"/>
                <w:sz w:val="24"/>
              </w:rPr>
            </w:pPr>
            <w:r>
              <w:rPr>
                <w:rFonts w:hint="eastAsia" w:ascii="仿宋" w:hAnsi="仿宋" w:eastAsia="仿宋" w:cs="Calibri"/>
                <w:sz w:val="24"/>
              </w:rPr>
              <w:t>（5）每个工作日内要对楼层产生的垃圾，进行清理分类，并运至垃圾集中堆放点。</w:t>
            </w:r>
          </w:p>
        </w:tc>
      </w:tr>
      <w:tr w14:paraId="3E4A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1C1A8837">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4A5680CC">
            <w:pPr>
              <w:widowControl/>
              <w:snapToGrid w:val="0"/>
              <w:spacing w:line="300" w:lineRule="auto"/>
              <w:rPr>
                <w:rFonts w:ascii="仿宋" w:hAnsi="仿宋" w:eastAsia="仿宋"/>
                <w:sz w:val="24"/>
              </w:rPr>
            </w:pPr>
          </w:p>
        </w:tc>
        <w:tc>
          <w:tcPr>
            <w:tcW w:w="5573" w:type="dxa"/>
            <w:shd w:val="clear" w:color="auto" w:fill="auto"/>
            <w:noWrap w:val="0"/>
            <w:vAlign w:val="center"/>
          </w:tcPr>
          <w:p w14:paraId="179CC395">
            <w:pPr>
              <w:widowControl/>
              <w:snapToGrid w:val="0"/>
              <w:spacing w:line="300" w:lineRule="auto"/>
              <w:jc w:val="left"/>
              <w:rPr>
                <w:rFonts w:ascii="仿宋" w:hAnsi="仿宋" w:eastAsia="仿宋" w:cs="Calibri"/>
                <w:sz w:val="24"/>
              </w:rPr>
            </w:pPr>
            <w:r>
              <w:rPr>
                <w:rFonts w:hint="eastAsia" w:ascii="仿宋" w:hAnsi="仿宋" w:eastAsia="仿宋" w:cs="Calibri"/>
                <w:sz w:val="24"/>
              </w:rPr>
              <w:t>（6）垃圾装袋，日产日清。</w:t>
            </w:r>
          </w:p>
        </w:tc>
      </w:tr>
      <w:tr w14:paraId="09B6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043FF71A">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2EC601A5">
            <w:pPr>
              <w:widowControl/>
              <w:snapToGrid w:val="0"/>
              <w:spacing w:line="300" w:lineRule="auto"/>
              <w:rPr>
                <w:rFonts w:ascii="仿宋" w:hAnsi="仿宋" w:eastAsia="仿宋"/>
                <w:sz w:val="24"/>
              </w:rPr>
            </w:pPr>
          </w:p>
        </w:tc>
        <w:tc>
          <w:tcPr>
            <w:tcW w:w="5573" w:type="dxa"/>
            <w:shd w:val="clear" w:color="auto" w:fill="auto"/>
            <w:noWrap w:val="0"/>
            <w:vAlign w:val="center"/>
          </w:tcPr>
          <w:p w14:paraId="0A62134C">
            <w:pPr>
              <w:widowControl/>
              <w:snapToGrid w:val="0"/>
              <w:spacing w:line="300" w:lineRule="auto"/>
              <w:jc w:val="left"/>
              <w:rPr>
                <w:rFonts w:ascii="仿宋" w:hAnsi="仿宋" w:eastAsia="仿宋" w:cs="Calibri"/>
                <w:sz w:val="24"/>
              </w:rPr>
            </w:pPr>
            <w:r>
              <w:rPr>
                <w:rFonts w:hint="eastAsia" w:ascii="仿宋" w:hAnsi="仿宋" w:eastAsia="仿宋" w:cs="Calibri"/>
                <w:sz w:val="24"/>
              </w:rPr>
              <w:t>（7）建立垃圾清运台账，交由规范的渠道回收处理。</w:t>
            </w:r>
          </w:p>
        </w:tc>
      </w:tr>
      <w:tr w14:paraId="490D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4" w:type="dxa"/>
            <w:vMerge w:val="continue"/>
            <w:shd w:val="clear" w:color="auto" w:fill="auto"/>
            <w:noWrap w:val="0"/>
            <w:vAlign w:val="center"/>
          </w:tcPr>
          <w:p w14:paraId="1787E53B">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72F1BCCB">
            <w:pPr>
              <w:widowControl/>
              <w:snapToGrid w:val="0"/>
              <w:spacing w:line="300" w:lineRule="auto"/>
              <w:rPr>
                <w:rFonts w:ascii="仿宋" w:hAnsi="仿宋" w:eastAsia="仿宋"/>
                <w:sz w:val="24"/>
              </w:rPr>
            </w:pPr>
          </w:p>
        </w:tc>
        <w:tc>
          <w:tcPr>
            <w:tcW w:w="5573" w:type="dxa"/>
            <w:shd w:val="clear" w:color="auto" w:fill="auto"/>
            <w:noWrap w:val="0"/>
            <w:vAlign w:val="center"/>
          </w:tcPr>
          <w:p w14:paraId="6458BD1C">
            <w:pPr>
              <w:widowControl/>
              <w:snapToGrid w:val="0"/>
              <w:spacing w:line="300" w:lineRule="auto"/>
              <w:jc w:val="left"/>
              <w:rPr>
                <w:rFonts w:ascii="仿宋" w:hAnsi="仿宋" w:eastAsia="仿宋" w:cs="Calibri"/>
                <w:sz w:val="24"/>
              </w:rPr>
            </w:pPr>
            <w:r>
              <w:rPr>
                <w:rFonts w:hint="eastAsia" w:ascii="仿宋" w:hAnsi="仿宋" w:eastAsia="仿宋" w:cs="Calibri"/>
                <w:sz w:val="24"/>
              </w:rPr>
              <w:t>（8）</w:t>
            </w:r>
            <w:r>
              <w:rPr>
                <w:rFonts w:ascii="仿宋" w:hAnsi="仿宋" w:eastAsia="仿宋" w:cs="Calibri"/>
                <w:sz w:val="24"/>
              </w:rPr>
              <w:t>做好垃圾分类管理的宣传工作，督促并引导全员参与垃圾分类投放</w:t>
            </w:r>
            <w:r>
              <w:rPr>
                <w:rFonts w:hint="eastAsia" w:ascii="仿宋" w:hAnsi="仿宋" w:eastAsia="仿宋" w:cs="Calibri"/>
                <w:sz w:val="24"/>
              </w:rPr>
              <w:t>。</w:t>
            </w:r>
          </w:p>
        </w:tc>
      </w:tr>
      <w:tr w14:paraId="5450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74" w:type="dxa"/>
            <w:vMerge w:val="continue"/>
            <w:shd w:val="clear" w:color="auto" w:fill="auto"/>
            <w:noWrap w:val="0"/>
            <w:vAlign w:val="center"/>
          </w:tcPr>
          <w:p w14:paraId="5197F7E8">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46536FB9">
            <w:pPr>
              <w:widowControl/>
              <w:snapToGrid w:val="0"/>
              <w:spacing w:line="300" w:lineRule="auto"/>
              <w:rPr>
                <w:rFonts w:ascii="仿宋" w:hAnsi="仿宋" w:eastAsia="仿宋"/>
                <w:sz w:val="24"/>
              </w:rPr>
            </w:pPr>
          </w:p>
        </w:tc>
        <w:tc>
          <w:tcPr>
            <w:tcW w:w="5573" w:type="dxa"/>
            <w:shd w:val="clear" w:color="auto" w:fill="auto"/>
            <w:noWrap w:val="0"/>
            <w:vAlign w:val="center"/>
          </w:tcPr>
          <w:p w14:paraId="7D6CD3EE">
            <w:pPr>
              <w:widowControl/>
              <w:snapToGrid w:val="0"/>
              <w:spacing w:line="300" w:lineRule="auto"/>
              <w:jc w:val="left"/>
              <w:rPr>
                <w:rFonts w:ascii="仿宋" w:hAnsi="仿宋" w:eastAsia="仿宋" w:cs="Calibri"/>
                <w:sz w:val="24"/>
              </w:rPr>
            </w:pPr>
            <w:r>
              <w:rPr>
                <w:rFonts w:hint="eastAsia" w:ascii="仿宋" w:hAnsi="仿宋" w:eastAsia="仿宋" w:cs="Calibri"/>
                <w:sz w:val="24"/>
              </w:rPr>
              <w:t>（9）垃圾分类投放管理工作的执行标准，按三亚市相关要求执行。</w:t>
            </w:r>
          </w:p>
        </w:tc>
      </w:tr>
      <w:tr w14:paraId="0DBD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74" w:type="dxa"/>
            <w:vMerge w:val="restart"/>
            <w:shd w:val="clear" w:color="auto" w:fill="auto"/>
            <w:noWrap w:val="0"/>
            <w:vAlign w:val="center"/>
          </w:tcPr>
          <w:p w14:paraId="748C386E">
            <w:pPr>
              <w:widowControl/>
              <w:snapToGrid w:val="0"/>
              <w:spacing w:line="300" w:lineRule="auto"/>
              <w:jc w:val="center"/>
              <w:rPr>
                <w:rFonts w:ascii="仿宋" w:hAnsi="仿宋" w:eastAsia="仿宋"/>
                <w:sz w:val="24"/>
              </w:rPr>
            </w:pPr>
            <w:r>
              <w:rPr>
                <w:rFonts w:hint="eastAsia" w:ascii="仿宋" w:hAnsi="仿宋" w:eastAsia="仿宋"/>
                <w:sz w:val="24"/>
              </w:rPr>
              <w:t>5</w:t>
            </w:r>
          </w:p>
        </w:tc>
        <w:tc>
          <w:tcPr>
            <w:tcW w:w="1954" w:type="dxa"/>
            <w:vMerge w:val="restart"/>
            <w:shd w:val="clear" w:color="auto" w:fill="auto"/>
            <w:noWrap w:val="0"/>
            <w:vAlign w:val="center"/>
          </w:tcPr>
          <w:p w14:paraId="354E04C7">
            <w:pPr>
              <w:widowControl/>
              <w:snapToGrid w:val="0"/>
              <w:spacing w:line="300" w:lineRule="auto"/>
              <w:rPr>
                <w:rFonts w:ascii="仿宋" w:hAnsi="仿宋" w:eastAsia="仿宋"/>
                <w:sz w:val="24"/>
              </w:rPr>
            </w:pPr>
            <w:r>
              <w:rPr>
                <w:rFonts w:ascii="仿宋" w:hAnsi="仿宋" w:eastAsia="仿宋"/>
                <w:sz w:val="24"/>
              </w:rPr>
              <w:t>卫生消毒</w:t>
            </w:r>
          </w:p>
        </w:tc>
        <w:tc>
          <w:tcPr>
            <w:tcW w:w="5573" w:type="dxa"/>
            <w:shd w:val="clear" w:color="auto" w:fill="auto"/>
            <w:noWrap w:val="0"/>
            <w:vAlign w:val="center"/>
          </w:tcPr>
          <w:p w14:paraId="209230CF">
            <w:pPr>
              <w:widowControl/>
              <w:snapToGrid w:val="0"/>
              <w:spacing w:line="300" w:lineRule="auto"/>
              <w:jc w:val="left"/>
              <w:rPr>
                <w:rFonts w:ascii="仿宋" w:hAnsi="仿宋" w:eastAsia="仿宋" w:cs="Calibri"/>
                <w:sz w:val="24"/>
              </w:rPr>
            </w:pPr>
            <w:r>
              <w:rPr>
                <w:rFonts w:hint="eastAsia" w:ascii="仿宋" w:hAnsi="仿宋" w:eastAsia="仿宋" w:cs="Calibri"/>
                <w:sz w:val="24"/>
              </w:rPr>
              <w:t>（1）办公用房区域、公共场所区域和周围环境预防性卫生消毒，消毒后及时通风，每周至少开展1次作业。</w:t>
            </w:r>
          </w:p>
        </w:tc>
      </w:tr>
      <w:tr w14:paraId="63E8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74" w:type="dxa"/>
            <w:vMerge w:val="continue"/>
            <w:shd w:val="clear" w:color="auto" w:fill="auto"/>
            <w:noWrap w:val="0"/>
            <w:vAlign w:val="center"/>
          </w:tcPr>
          <w:p w14:paraId="60CAE21A">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5FD937A7">
            <w:pPr>
              <w:widowControl/>
              <w:snapToGrid w:val="0"/>
              <w:spacing w:line="300" w:lineRule="auto"/>
              <w:rPr>
                <w:rFonts w:ascii="仿宋" w:hAnsi="仿宋" w:eastAsia="仿宋"/>
                <w:sz w:val="24"/>
              </w:rPr>
            </w:pPr>
          </w:p>
        </w:tc>
        <w:tc>
          <w:tcPr>
            <w:tcW w:w="5573" w:type="dxa"/>
            <w:shd w:val="clear" w:color="auto" w:fill="auto"/>
            <w:noWrap w:val="0"/>
            <w:vAlign w:val="center"/>
          </w:tcPr>
          <w:p w14:paraId="52A3053C">
            <w:pPr>
              <w:widowControl/>
              <w:snapToGrid w:val="0"/>
              <w:spacing w:line="300" w:lineRule="auto"/>
              <w:jc w:val="left"/>
              <w:rPr>
                <w:rFonts w:ascii="仿宋" w:hAnsi="仿宋" w:eastAsia="仿宋" w:cs="Calibri"/>
                <w:sz w:val="24"/>
              </w:rPr>
            </w:pPr>
            <w:r>
              <w:rPr>
                <w:rFonts w:hint="eastAsia" w:ascii="仿宋" w:hAnsi="仿宋" w:eastAsia="仿宋" w:cs="Calibri"/>
                <w:sz w:val="24"/>
              </w:rPr>
              <w:t>（2）采取综合措施消灭老鼠、蟑螂，控制室内外蚊虫孳生，</w:t>
            </w:r>
            <w:r>
              <w:rPr>
                <w:rFonts w:ascii="仿宋" w:hAnsi="仿宋" w:eastAsia="仿宋" w:cs="Calibri"/>
                <w:sz w:val="24"/>
              </w:rPr>
              <w:t>服务区域病媒防制工作达到国标C</w:t>
            </w:r>
            <w:r>
              <w:rPr>
                <w:rFonts w:hint="eastAsia" w:ascii="仿宋" w:hAnsi="仿宋" w:eastAsia="仿宋" w:cs="Calibri"/>
                <w:sz w:val="24"/>
              </w:rPr>
              <w:t>级标准（含）以上，每月至少开展</w:t>
            </w:r>
            <w:r>
              <w:rPr>
                <w:rFonts w:ascii="仿宋" w:hAnsi="仿宋" w:eastAsia="仿宋" w:cs="Calibri"/>
                <w:sz w:val="24"/>
              </w:rPr>
              <w:t>4</w:t>
            </w:r>
            <w:r>
              <w:rPr>
                <w:rFonts w:hint="eastAsia" w:ascii="仿宋" w:hAnsi="仿宋" w:eastAsia="仿宋" w:cs="Calibri"/>
                <w:sz w:val="24"/>
              </w:rPr>
              <w:t>次作业。</w:t>
            </w:r>
          </w:p>
        </w:tc>
      </w:tr>
      <w:tr w14:paraId="68A7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74" w:type="dxa"/>
            <w:vMerge w:val="continue"/>
            <w:shd w:val="clear" w:color="auto" w:fill="auto"/>
            <w:noWrap w:val="0"/>
            <w:vAlign w:val="center"/>
          </w:tcPr>
          <w:p w14:paraId="7CE277CC">
            <w:pPr>
              <w:widowControl/>
              <w:snapToGrid w:val="0"/>
              <w:spacing w:line="300" w:lineRule="auto"/>
              <w:jc w:val="center"/>
              <w:rPr>
                <w:rFonts w:ascii="仿宋" w:hAnsi="仿宋" w:eastAsia="仿宋"/>
                <w:sz w:val="24"/>
              </w:rPr>
            </w:pPr>
          </w:p>
        </w:tc>
        <w:tc>
          <w:tcPr>
            <w:tcW w:w="1954" w:type="dxa"/>
            <w:vMerge w:val="continue"/>
            <w:shd w:val="clear" w:color="auto" w:fill="auto"/>
            <w:noWrap w:val="0"/>
            <w:vAlign w:val="center"/>
          </w:tcPr>
          <w:p w14:paraId="675BE7B2">
            <w:pPr>
              <w:widowControl/>
              <w:snapToGrid w:val="0"/>
              <w:spacing w:line="300" w:lineRule="auto"/>
              <w:rPr>
                <w:rFonts w:ascii="仿宋" w:hAnsi="仿宋" w:eastAsia="仿宋"/>
                <w:sz w:val="24"/>
              </w:rPr>
            </w:pPr>
          </w:p>
        </w:tc>
        <w:tc>
          <w:tcPr>
            <w:tcW w:w="5573" w:type="dxa"/>
            <w:shd w:val="clear" w:color="auto" w:fill="auto"/>
            <w:noWrap w:val="0"/>
            <w:vAlign w:val="center"/>
          </w:tcPr>
          <w:p w14:paraId="4779C1F7">
            <w:pPr>
              <w:widowControl/>
              <w:snapToGrid w:val="0"/>
              <w:spacing w:line="300" w:lineRule="auto"/>
              <w:jc w:val="left"/>
              <w:rPr>
                <w:rFonts w:ascii="仿宋" w:hAnsi="仿宋" w:eastAsia="仿宋" w:cs="Calibri"/>
                <w:sz w:val="24"/>
              </w:rPr>
            </w:pPr>
            <w:r>
              <w:rPr>
                <w:rFonts w:hint="eastAsia" w:ascii="仿宋" w:hAnsi="仿宋" w:eastAsia="仿宋" w:cs="Calibri"/>
                <w:sz w:val="24"/>
              </w:rPr>
              <w:t>（3）发生公共卫生事件时，邀请专业单位开展消毒、消杀、检测等工作。</w:t>
            </w:r>
          </w:p>
        </w:tc>
      </w:tr>
    </w:tbl>
    <w:p w14:paraId="13BFE0C3">
      <w:pPr>
        <w:spacing w:line="360" w:lineRule="auto"/>
        <w:rPr>
          <w:rFonts w:ascii="宋体" w:hAnsi="宋体" w:cs="宋体"/>
          <w:sz w:val="28"/>
          <w:szCs w:val="28"/>
        </w:rPr>
      </w:pPr>
    </w:p>
    <w:p w14:paraId="633888E8">
      <w:pPr>
        <w:spacing w:line="360" w:lineRule="auto"/>
        <w:ind w:firstLine="480" w:firstLineChars="200"/>
        <w:rPr>
          <w:rFonts w:ascii="仿宋" w:hAnsi="仿宋" w:eastAsia="仿宋" w:cs="仿宋"/>
          <w:iCs/>
          <w:sz w:val="24"/>
        </w:rPr>
      </w:pPr>
      <w:r>
        <w:rPr>
          <w:rFonts w:hint="eastAsia" w:ascii="仿宋" w:hAnsi="仿宋" w:eastAsia="仿宋" w:cs="仿宋"/>
          <w:iCs/>
          <w:sz w:val="24"/>
        </w:rPr>
        <w:t>5</w:t>
      </w:r>
      <w:r>
        <w:rPr>
          <w:rFonts w:ascii="仿宋" w:hAnsi="仿宋" w:eastAsia="仿宋" w:cs="仿宋"/>
          <w:iCs/>
          <w:sz w:val="24"/>
        </w:rPr>
        <w:t>.绿化</w:t>
      </w:r>
      <w:r>
        <w:rPr>
          <w:rFonts w:hint="eastAsia" w:ascii="仿宋" w:hAnsi="仿宋" w:eastAsia="仿宋" w:cs="仿宋"/>
          <w:iCs/>
          <w:sz w:val="24"/>
        </w:rPr>
        <w:t>养护</w:t>
      </w:r>
      <w:r>
        <w:rPr>
          <w:rFonts w:ascii="仿宋" w:hAnsi="仿宋" w:eastAsia="仿宋" w:cs="仿宋"/>
          <w:iCs/>
          <w:sz w:val="24"/>
        </w:rPr>
        <w:t>服务内容、要求及标准</w:t>
      </w:r>
    </w:p>
    <w:p w14:paraId="029344AB">
      <w:pPr>
        <w:spacing w:line="360" w:lineRule="auto"/>
        <w:ind w:firstLine="480" w:firstLineChars="200"/>
        <w:rPr>
          <w:rFonts w:ascii="仿宋" w:hAnsi="仿宋" w:eastAsia="仿宋" w:cs="仿宋"/>
          <w:iCs/>
          <w:sz w:val="24"/>
        </w:rPr>
      </w:pPr>
      <w:r>
        <w:rPr>
          <w:rFonts w:ascii="仿宋" w:hAnsi="仿宋" w:eastAsia="仿宋" w:cs="仿宋"/>
          <w:iCs/>
          <w:sz w:val="24"/>
        </w:rPr>
        <w:t>5.</w:t>
      </w:r>
      <w:r>
        <w:rPr>
          <w:rFonts w:hint="eastAsia" w:ascii="仿宋" w:hAnsi="仿宋" w:eastAsia="仿宋" w:cs="仿宋"/>
          <w:iCs/>
          <w:sz w:val="24"/>
        </w:rPr>
        <w:t>1</w:t>
      </w:r>
      <w:r>
        <w:rPr>
          <w:rFonts w:ascii="仿宋" w:hAnsi="仿宋" w:eastAsia="仿宋" w:cs="仿宋"/>
          <w:iCs/>
          <w:sz w:val="24"/>
        </w:rPr>
        <w:t>.</w:t>
      </w:r>
      <w:r>
        <w:rPr>
          <w:rFonts w:hint="eastAsia" w:ascii="仿宋" w:hAnsi="仿宋" w:eastAsia="仿宋" w:cs="仿宋"/>
          <w:iCs/>
          <w:sz w:val="24"/>
        </w:rPr>
        <w:t>服务内容：</w:t>
      </w:r>
    </w:p>
    <w:p w14:paraId="73B87880">
      <w:pPr>
        <w:spacing w:line="360" w:lineRule="auto"/>
        <w:ind w:firstLine="480" w:firstLineChars="200"/>
        <w:rPr>
          <w:rFonts w:ascii="仿宋" w:hAnsi="仿宋" w:eastAsia="仿宋" w:cs="仿宋"/>
          <w:iCs/>
          <w:sz w:val="24"/>
        </w:rPr>
      </w:pPr>
      <w:r>
        <w:rPr>
          <w:rFonts w:hint="eastAsia" w:ascii="仿宋" w:hAnsi="仿宋" w:eastAsia="仿宋" w:cs="仿宋"/>
          <w:iCs/>
          <w:sz w:val="24"/>
        </w:rPr>
        <w:t>（1）负责校区内所有绿化带、景观点、运动场草地、花卉、树木等的施肥、防虫害、浇水防旱、修剪造型、缺株补植等管理及养护工作。</w:t>
      </w:r>
    </w:p>
    <w:p w14:paraId="5E18A115">
      <w:pPr>
        <w:spacing w:line="360" w:lineRule="auto"/>
        <w:ind w:firstLine="480" w:firstLineChars="200"/>
        <w:rPr>
          <w:rFonts w:ascii="仿宋" w:hAnsi="仿宋" w:eastAsia="仿宋" w:cs="仿宋"/>
          <w:iCs/>
          <w:sz w:val="24"/>
        </w:rPr>
      </w:pPr>
      <w:r>
        <w:rPr>
          <w:rFonts w:hint="eastAsia" w:ascii="仿宋" w:hAnsi="仿宋" w:eastAsia="仿宋" w:cs="仿宋"/>
          <w:iCs/>
          <w:sz w:val="24"/>
        </w:rPr>
        <w:t>（</w:t>
      </w:r>
      <w:r>
        <w:rPr>
          <w:rFonts w:ascii="仿宋" w:hAnsi="仿宋" w:eastAsia="仿宋" w:cs="仿宋"/>
          <w:iCs/>
          <w:sz w:val="24"/>
        </w:rPr>
        <w:t>2</w:t>
      </w:r>
      <w:r>
        <w:rPr>
          <w:rFonts w:hint="eastAsia" w:ascii="仿宋" w:hAnsi="仿宋" w:eastAsia="仿宋" w:cs="仿宋"/>
          <w:iCs/>
          <w:sz w:val="24"/>
        </w:rPr>
        <w:t>）负责校园内的花草、草坪及树木的浇水、施肥、修剪、养护等。</w:t>
      </w:r>
    </w:p>
    <w:p w14:paraId="10D2184A">
      <w:pPr>
        <w:spacing w:line="360" w:lineRule="auto"/>
        <w:ind w:firstLine="480" w:firstLineChars="200"/>
        <w:rPr>
          <w:rFonts w:ascii="仿宋" w:hAnsi="仿宋" w:eastAsia="仿宋" w:cs="仿宋"/>
          <w:iCs/>
          <w:sz w:val="24"/>
        </w:rPr>
      </w:pPr>
      <w:r>
        <w:rPr>
          <w:rFonts w:hint="eastAsia" w:ascii="仿宋" w:hAnsi="仿宋" w:eastAsia="仿宋" w:cs="仿宋"/>
          <w:iCs/>
          <w:sz w:val="24"/>
        </w:rPr>
        <w:t>（</w:t>
      </w:r>
      <w:r>
        <w:rPr>
          <w:rFonts w:ascii="仿宋" w:hAnsi="仿宋" w:eastAsia="仿宋" w:cs="仿宋"/>
          <w:iCs/>
          <w:sz w:val="24"/>
        </w:rPr>
        <w:t>3</w:t>
      </w:r>
      <w:r>
        <w:rPr>
          <w:rFonts w:hint="eastAsia" w:ascii="仿宋" w:hAnsi="仿宋" w:eastAsia="仿宋" w:cs="仿宋"/>
          <w:iCs/>
          <w:sz w:val="24"/>
        </w:rPr>
        <w:t>）有专业人员实施绿化养护管理；</w:t>
      </w:r>
    </w:p>
    <w:p w14:paraId="3C8241FE">
      <w:pPr>
        <w:spacing w:line="360" w:lineRule="auto"/>
        <w:ind w:firstLine="480" w:firstLineChars="200"/>
        <w:rPr>
          <w:rFonts w:ascii="仿宋" w:hAnsi="仿宋" w:eastAsia="仿宋" w:cs="仿宋"/>
          <w:iCs/>
          <w:sz w:val="24"/>
        </w:rPr>
      </w:pPr>
      <w:r>
        <w:rPr>
          <w:rFonts w:hint="eastAsia" w:ascii="仿宋" w:hAnsi="仿宋" w:eastAsia="仿宋" w:cs="仿宋"/>
          <w:iCs/>
          <w:sz w:val="24"/>
        </w:rPr>
        <w:t>（</w:t>
      </w:r>
      <w:r>
        <w:rPr>
          <w:rFonts w:ascii="仿宋" w:hAnsi="仿宋" w:eastAsia="仿宋" w:cs="仿宋"/>
          <w:iCs/>
          <w:sz w:val="24"/>
        </w:rPr>
        <w:t>4</w:t>
      </w:r>
      <w:r>
        <w:rPr>
          <w:rFonts w:hint="eastAsia" w:ascii="仿宋" w:hAnsi="仿宋" w:eastAsia="仿宋" w:cs="仿宋"/>
          <w:iCs/>
          <w:sz w:val="24"/>
        </w:rPr>
        <w:t>）对草坪、花卉、绿篱、树木定期修剪、养护；</w:t>
      </w:r>
    </w:p>
    <w:p w14:paraId="3BA2F073">
      <w:pPr>
        <w:spacing w:line="360" w:lineRule="auto"/>
        <w:ind w:firstLine="480" w:firstLineChars="200"/>
        <w:rPr>
          <w:rFonts w:ascii="仿宋" w:hAnsi="仿宋" w:eastAsia="仿宋" w:cs="仿宋"/>
          <w:iCs/>
          <w:sz w:val="24"/>
        </w:rPr>
      </w:pPr>
      <w:r>
        <w:rPr>
          <w:rFonts w:hint="eastAsia" w:ascii="仿宋" w:hAnsi="仿宋" w:eastAsia="仿宋" w:cs="仿宋"/>
          <w:iCs/>
          <w:sz w:val="24"/>
        </w:rPr>
        <w:t>（</w:t>
      </w:r>
      <w:r>
        <w:rPr>
          <w:rFonts w:ascii="仿宋" w:hAnsi="仿宋" w:eastAsia="仿宋" w:cs="仿宋"/>
          <w:iCs/>
          <w:sz w:val="24"/>
        </w:rPr>
        <w:t>5</w:t>
      </w:r>
      <w:r>
        <w:rPr>
          <w:rFonts w:hint="eastAsia" w:ascii="仿宋" w:hAnsi="仿宋" w:eastAsia="仿宋" w:cs="仿宋"/>
          <w:iCs/>
          <w:sz w:val="24"/>
        </w:rPr>
        <w:t>）定期清除绿地杂草、杂物和卫生保洁；</w:t>
      </w:r>
    </w:p>
    <w:p w14:paraId="41C28E2D">
      <w:pPr>
        <w:spacing w:line="360" w:lineRule="auto"/>
        <w:ind w:firstLine="480" w:firstLineChars="200"/>
        <w:rPr>
          <w:rFonts w:ascii="仿宋" w:hAnsi="仿宋" w:eastAsia="仿宋" w:cs="仿宋"/>
          <w:iCs/>
          <w:sz w:val="24"/>
        </w:rPr>
      </w:pPr>
      <w:r>
        <w:rPr>
          <w:rFonts w:hint="eastAsia" w:ascii="仿宋" w:hAnsi="仿宋" w:eastAsia="仿宋" w:cs="仿宋"/>
          <w:iCs/>
          <w:sz w:val="24"/>
        </w:rPr>
        <w:t>（</w:t>
      </w:r>
      <w:r>
        <w:rPr>
          <w:rFonts w:ascii="仿宋" w:hAnsi="仿宋" w:eastAsia="仿宋" w:cs="仿宋"/>
          <w:iCs/>
          <w:sz w:val="24"/>
        </w:rPr>
        <w:t>6</w:t>
      </w:r>
      <w:r>
        <w:rPr>
          <w:rFonts w:hint="eastAsia" w:ascii="仿宋" w:hAnsi="仿宋" w:eastAsia="仿宋" w:cs="仿宋"/>
          <w:iCs/>
          <w:sz w:val="24"/>
        </w:rPr>
        <w:t>）适时组织浇灌、施肥和松土，做好防涝、防台风工作；适时喷洒药物，预防病变虫害。</w:t>
      </w:r>
    </w:p>
    <w:p w14:paraId="2ECD04A7">
      <w:pPr>
        <w:spacing w:line="360" w:lineRule="auto"/>
        <w:ind w:firstLine="480" w:firstLineChars="200"/>
        <w:rPr>
          <w:rFonts w:ascii="仿宋" w:hAnsi="仿宋" w:eastAsia="仿宋" w:cs="仿宋"/>
          <w:iCs/>
          <w:sz w:val="24"/>
        </w:rPr>
      </w:pPr>
      <w:r>
        <w:rPr>
          <w:rFonts w:hint="eastAsia" w:ascii="仿宋" w:hAnsi="仿宋" w:eastAsia="仿宋" w:cs="仿宋"/>
          <w:iCs/>
          <w:sz w:val="24"/>
        </w:rPr>
        <w:t>（7）协助甲方对校园绿地进行局部改造。</w:t>
      </w:r>
    </w:p>
    <w:p w14:paraId="2050139D">
      <w:pPr>
        <w:spacing w:line="360" w:lineRule="auto"/>
        <w:ind w:firstLine="480" w:firstLineChars="200"/>
        <w:rPr>
          <w:rFonts w:ascii="仿宋" w:hAnsi="仿宋" w:eastAsia="仿宋" w:cs="仿宋"/>
          <w:iCs/>
          <w:sz w:val="24"/>
        </w:rPr>
      </w:pPr>
      <w:r>
        <w:rPr>
          <w:rFonts w:hint="eastAsia" w:ascii="仿宋" w:hAnsi="仿宋" w:eastAsia="仿宋" w:cs="仿宋"/>
          <w:iCs/>
          <w:sz w:val="24"/>
        </w:rPr>
        <w:t>（8）负责因台风、暴雨、地震等不可抗力自然灾害所导致的苗木毁坏的补种、改造。</w:t>
      </w:r>
    </w:p>
    <w:p w14:paraId="2C120041">
      <w:pPr>
        <w:spacing w:line="360" w:lineRule="auto"/>
        <w:ind w:firstLine="480" w:firstLineChars="200"/>
        <w:rPr>
          <w:rFonts w:ascii="仿宋" w:hAnsi="仿宋" w:eastAsia="仿宋" w:cs="仿宋"/>
          <w:iCs/>
          <w:sz w:val="24"/>
        </w:rPr>
      </w:pPr>
      <w:r>
        <w:rPr>
          <w:rFonts w:hint="eastAsia" w:ascii="仿宋" w:hAnsi="仿宋" w:eastAsia="仿宋" w:cs="仿宋"/>
          <w:iCs/>
          <w:sz w:val="24"/>
        </w:rPr>
        <w:t>（9）负责因台风、暴雨、地震等不可抗力自然灾害所导致的绿化树木清理及日常剪枝、倒伏树枝的清理工作。</w:t>
      </w:r>
    </w:p>
    <w:p w14:paraId="46AFBCB0">
      <w:pPr>
        <w:spacing w:line="360" w:lineRule="auto"/>
        <w:ind w:firstLine="480" w:firstLineChars="200"/>
        <w:rPr>
          <w:rFonts w:ascii="仿宋" w:hAnsi="仿宋" w:eastAsia="仿宋" w:cs="仿宋"/>
          <w:iCs/>
          <w:sz w:val="24"/>
        </w:rPr>
      </w:pPr>
      <w:r>
        <w:rPr>
          <w:rFonts w:hint="eastAsia" w:ascii="仿宋" w:hAnsi="仿宋" w:eastAsia="仿宋" w:cs="仿宋"/>
          <w:iCs/>
          <w:sz w:val="24"/>
        </w:rPr>
        <w:t>（1</w:t>
      </w:r>
      <w:r>
        <w:rPr>
          <w:rFonts w:ascii="仿宋" w:hAnsi="仿宋" w:eastAsia="仿宋" w:cs="仿宋"/>
          <w:iCs/>
          <w:sz w:val="24"/>
        </w:rPr>
        <w:t>0</w:t>
      </w:r>
      <w:r>
        <w:rPr>
          <w:rFonts w:hint="eastAsia" w:ascii="仿宋" w:hAnsi="仿宋" w:eastAsia="仿宋" w:cs="仿宋"/>
          <w:iCs/>
          <w:sz w:val="24"/>
        </w:rPr>
        <w:t>）树木矮化（树木矮化涉及高空作业，需要人工锯树、绿化用油、绿化工具损耗、垃圾上车、意外险等，费用另行与校方协商核算）</w:t>
      </w:r>
    </w:p>
    <w:p w14:paraId="5BD82DF5">
      <w:pPr>
        <w:spacing w:line="360" w:lineRule="auto"/>
        <w:ind w:firstLine="480" w:firstLineChars="200"/>
        <w:rPr>
          <w:rFonts w:ascii="仿宋" w:hAnsi="仿宋" w:eastAsia="仿宋" w:cs="仿宋"/>
          <w:iCs/>
          <w:sz w:val="24"/>
        </w:rPr>
      </w:pPr>
      <w:r>
        <w:rPr>
          <w:rFonts w:ascii="仿宋" w:hAnsi="仿宋" w:eastAsia="仿宋" w:cs="仿宋"/>
          <w:iCs/>
          <w:sz w:val="24"/>
        </w:rPr>
        <w:t>5.</w:t>
      </w:r>
      <w:r>
        <w:rPr>
          <w:rFonts w:hint="eastAsia" w:ascii="仿宋" w:hAnsi="仿宋" w:eastAsia="仿宋" w:cs="仿宋"/>
          <w:iCs/>
          <w:sz w:val="24"/>
        </w:rPr>
        <w:t>2</w:t>
      </w:r>
      <w:r>
        <w:rPr>
          <w:rFonts w:ascii="仿宋" w:hAnsi="仿宋" w:eastAsia="仿宋" w:cs="仿宋"/>
          <w:iCs/>
          <w:sz w:val="24"/>
        </w:rPr>
        <w:t>.</w:t>
      </w:r>
      <w:r>
        <w:rPr>
          <w:rFonts w:hint="eastAsia" w:ascii="仿宋" w:hAnsi="仿宋" w:eastAsia="仿宋" w:cs="仿宋"/>
          <w:iCs/>
          <w:sz w:val="24"/>
        </w:rPr>
        <w:t>服务要求</w:t>
      </w:r>
    </w:p>
    <w:p w14:paraId="0156FC61">
      <w:pPr>
        <w:spacing w:line="360" w:lineRule="auto"/>
        <w:ind w:firstLine="480" w:firstLineChars="200"/>
        <w:rPr>
          <w:rFonts w:ascii="仿宋" w:hAnsi="仿宋" w:eastAsia="仿宋" w:cs="仿宋"/>
          <w:iCs/>
          <w:sz w:val="24"/>
        </w:rPr>
      </w:pPr>
      <w:r>
        <w:rPr>
          <w:rFonts w:hint="eastAsia" w:ascii="仿宋" w:hAnsi="仿宋" w:eastAsia="仿宋" w:cs="仿宋"/>
          <w:iCs/>
          <w:sz w:val="24"/>
        </w:rPr>
        <w:t>（1）按专业化要求，对校园内现有的绿地面积进行管理，绿化各项指标要进入绿化美化先进行列。绿化树木每三个月(2、5、8、11月)施肥一次，做好有关记录。乔木、灌木、草坪、地被根据植物长势、造型需求等进行适时修剪，每年不少于8次，树林、矮灌木林等除杂每年至少 2 次（2、8 月）。造型植物修剪及时、得当，线条整齐、圆滑、流畅。规则式种植的造型植物，形状或体量保持一致。自然式种植的，形状和体量大小符合设计和景观的要求。</w:t>
      </w:r>
    </w:p>
    <w:p w14:paraId="423A5233">
      <w:pPr>
        <w:spacing w:line="360" w:lineRule="auto"/>
        <w:ind w:firstLine="480" w:firstLineChars="200"/>
        <w:rPr>
          <w:rFonts w:ascii="仿宋" w:hAnsi="仿宋" w:eastAsia="仿宋" w:cs="仿宋"/>
          <w:iCs/>
          <w:sz w:val="24"/>
        </w:rPr>
      </w:pPr>
      <w:r>
        <w:rPr>
          <w:rFonts w:hint="eastAsia" w:ascii="仿宋" w:hAnsi="仿宋" w:eastAsia="仿宋" w:cs="仿宋"/>
          <w:iCs/>
          <w:sz w:val="24"/>
        </w:rPr>
        <w:t>（2）确保绿地植物成活率达到98%以上，新栽树成活率达95%以上。如因管理养护不当等原因，造成树木死亡的，中标人需补植相同树种或经校方同意补植并赔偿造成的损失（自然死亡及不可抗拒因素除外）。行道树的体量、高度基本保持一致，下缘线和分枝点高度的控制符合《城市绿地养护技术规范》的规定。</w:t>
      </w:r>
    </w:p>
    <w:p w14:paraId="6AF0C3BE">
      <w:pPr>
        <w:spacing w:line="360" w:lineRule="auto"/>
        <w:ind w:firstLine="480" w:firstLineChars="200"/>
        <w:rPr>
          <w:rFonts w:ascii="仿宋" w:hAnsi="仿宋" w:eastAsia="仿宋" w:cs="仿宋"/>
          <w:iCs/>
          <w:sz w:val="24"/>
        </w:rPr>
      </w:pPr>
      <w:r>
        <w:rPr>
          <w:rFonts w:hint="eastAsia" w:ascii="仿宋" w:hAnsi="仿宋" w:eastAsia="仿宋" w:cs="仿宋"/>
          <w:iCs/>
          <w:sz w:val="24"/>
        </w:rPr>
        <w:t>（3）确保绿化带成片空地不超过0.5㎡，绿地草坪及植物无明显的缺漏现象。校园内绿化地基本无杂草，无积水，根据草坪的生长情况修剪及时、合理，无明显长过2CM高度的草。绿地的腐叶、纸屑、杂物，做好绿地保洁，落叶、开花季节至少两天清理一次。</w:t>
      </w:r>
    </w:p>
    <w:p w14:paraId="22299EA5">
      <w:pPr>
        <w:spacing w:line="360" w:lineRule="auto"/>
        <w:ind w:firstLine="480" w:firstLineChars="200"/>
        <w:rPr>
          <w:rFonts w:ascii="仿宋" w:hAnsi="仿宋" w:eastAsia="仿宋" w:cs="仿宋"/>
          <w:iCs/>
          <w:sz w:val="24"/>
        </w:rPr>
      </w:pPr>
      <w:r>
        <w:rPr>
          <w:rFonts w:hint="eastAsia" w:ascii="仿宋" w:hAnsi="仿宋" w:eastAsia="仿宋" w:cs="仿宋"/>
          <w:iCs/>
          <w:sz w:val="24"/>
        </w:rPr>
        <w:t>（4）配备登高车辆，及时处理死伤树木，树木无危害安全、无枯、病、残枝等。建立灾害天气防御紧急预案以及工作记录报送甲方管理部门审查。 灾害天气来临前做好充分准备，对浅根性、树冠庞大、枝叶过密的园林植物，将采取疏枝、立柱、绑扎、培土、遮挡等防御措施。密切留意气象台发布的天气预报，24 小时安排人员值班，保证所有的通 信设备 24 小时畅通，发生紧急情况及时汇报并投入抢险，并服从校方的统一调配。灾害天气过后，组织所有员工上阵，以最快的速度、最短的时间清理妨碍人行和交通的树木。如不及时处理危害安全及死伤树木，造成树木伤人、毁物事件，其责任由中标人负责。</w:t>
      </w:r>
    </w:p>
    <w:p w14:paraId="0620ABD8">
      <w:pPr>
        <w:spacing w:line="360" w:lineRule="auto"/>
        <w:ind w:firstLine="480" w:firstLineChars="200"/>
        <w:rPr>
          <w:rFonts w:ascii="仿宋" w:hAnsi="仿宋" w:eastAsia="仿宋" w:cs="仿宋"/>
          <w:iCs/>
          <w:sz w:val="24"/>
        </w:rPr>
      </w:pPr>
      <w:r>
        <w:rPr>
          <w:rFonts w:hint="eastAsia" w:ascii="仿宋" w:hAnsi="仿宋" w:eastAsia="仿宋" w:cs="仿宋"/>
          <w:iCs/>
          <w:sz w:val="24"/>
        </w:rPr>
        <w:t>（5）定期或不定期对校园内植物进行病虫害杀灭和防治，一年不少于4次，确保植物无明显病虫害。进行病虫害杀灭和防治时，需进行无害化处理，切实保证不危及人、物。如处理不当，其产生的后果，责任由中标人负责。</w:t>
      </w:r>
    </w:p>
    <w:p w14:paraId="3B3E963D">
      <w:pPr>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6）对校内绿地及时进行除草、修剪、补漏、整形、浇水、施肥、松土等，使植物外观保持良好状态，并逐步增加花卉树木的名、珍、稀、新品种，使绿化工作上档次。定期清除杂草，杂草高度不超过15厘米，全年清除杂草不少于6次，建立档案。除草要及时，做到"除早、除小、除了"，杂草多，劳力少时可用化学除草剂进行灭草。 </w:t>
      </w:r>
    </w:p>
    <w:p w14:paraId="76FA799F">
      <w:pPr>
        <w:spacing w:line="360" w:lineRule="auto"/>
        <w:ind w:firstLine="480" w:firstLineChars="200"/>
        <w:rPr>
          <w:rFonts w:ascii="仿宋" w:hAnsi="仿宋" w:eastAsia="仿宋" w:cs="仿宋"/>
          <w:iCs/>
          <w:sz w:val="24"/>
        </w:rPr>
      </w:pPr>
      <w:r>
        <w:rPr>
          <w:rFonts w:hint="eastAsia" w:ascii="仿宋" w:hAnsi="仿宋" w:eastAsia="仿宋" w:cs="仿宋"/>
          <w:iCs/>
          <w:sz w:val="24"/>
        </w:rPr>
        <w:t>（7）种植的花卉、草皮、树苗等的品种，必须为校方同意种植的品种。</w:t>
      </w:r>
    </w:p>
    <w:p w14:paraId="27EA1784">
      <w:pPr>
        <w:spacing w:line="360" w:lineRule="auto"/>
        <w:ind w:firstLine="480" w:firstLineChars="200"/>
        <w:rPr>
          <w:rFonts w:ascii="仿宋" w:hAnsi="仿宋" w:eastAsia="仿宋" w:cs="仿宋"/>
          <w:iCs/>
          <w:sz w:val="24"/>
        </w:rPr>
      </w:pPr>
      <w:r>
        <w:rPr>
          <w:rFonts w:hint="eastAsia" w:ascii="仿宋" w:hAnsi="仿宋" w:eastAsia="仿宋" w:cs="仿宋"/>
          <w:iCs/>
          <w:sz w:val="24"/>
        </w:rPr>
        <w:t>（8）配合完成校方主要会议、重大活动和主要场所，如会议室、接待室、办公室等的摆花及养护。</w:t>
      </w:r>
    </w:p>
    <w:p w14:paraId="33C52D4E">
      <w:pPr>
        <w:spacing w:line="360" w:lineRule="auto"/>
        <w:ind w:firstLine="480" w:firstLineChars="200"/>
        <w:rPr>
          <w:rFonts w:ascii="仿宋" w:hAnsi="仿宋" w:eastAsia="仿宋" w:cs="仿宋"/>
          <w:iCs/>
          <w:sz w:val="24"/>
        </w:rPr>
      </w:pPr>
      <w:r>
        <w:rPr>
          <w:rFonts w:hint="eastAsia" w:ascii="仿宋" w:hAnsi="仿宋" w:eastAsia="仿宋" w:cs="仿宋"/>
          <w:iCs/>
          <w:sz w:val="24"/>
        </w:rPr>
        <w:t>（9）物业公司自行办理公共责任保险，</w:t>
      </w:r>
      <w:r>
        <w:rPr>
          <w:rFonts w:ascii="仿宋" w:hAnsi="仿宋" w:eastAsia="仿宋" w:cs="仿宋"/>
          <w:iCs/>
          <w:sz w:val="24"/>
        </w:rPr>
        <w:t>绿化服务人员要遵守安全生产守则，定期针对服务人员进行安全生产及作业培训，确保不发生安全事故。</w:t>
      </w:r>
    </w:p>
    <w:p w14:paraId="4D493C83">
      <w:pPr>
        <w:spacing w:line="360" w:lineRule="auto"/>
        <w:ind w:firstLine="480" w:firstLineChars="200"/>
        <w:rPr>
          <w:rFonts w:ascii="仿宋" w:hAnsi="仿宋" w:eastAsia="仿宋" w:cs="仿宋"/>
          <w:iCs/>
          <w:sz w:val="24"/>
        </w:rPr>
      </w:pPr>
      <w:r>
        <w:rPr>
          <w:rFonts w:ascii="仿宋" w:hAnsi="仿宋" w:eastAsia="仿宋" w:cs="仿宋"/>
          <w:iCs/>
          <w:sz w:val="24"/>
        </w:rPr>
        <w:t>5.3.绿化服务</w:t>
      </w:r>
      <w:r>
        <w:rPr>
          <w:rFonts w:hint="eastAsia" w:ascii="仿宋" w:hAnsi="仿宋" w:eastAsia="仿宋" w:cs="仿宋"/>
          <w:iCs/>
          <w:sz w:val="24"/>
        </w:rPr>
        <w:t>标准</w:t>
      </w:r>
    </w:p>
    <w:tbl>
      <w:tblPr>
        <w:tblStyle w:val="4"/>
        <w:tblW w:w="4994"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003"/>
        <w:gridCol w:w="5706"/>
      </w:tblGrid>
      <w:tr w14:paraId="2C22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shd w:val="clear" w:color="auto" w:fill="auto"/>
            <w:noWrap w:val="0"/>
            <w:vAlign w:val="center"/>
          </w:tcPr>
          <w:p w14:paraId="57B62564">
            <w:pPr>
              <w:widowControl/>
              <w:snapToGrid w:val="0"/>
              <w:spacing w:line="300" w:lineRule="auto"/>
              <w:jc w:val="center"/>
              <w:rPr>
                <w:rFonts w:ascii="Calibri" w:hAnsi="Calibri" w:cs="Calibri"/>
                <w:bCs/>
                <w:sz w:val="28"/>
                <w:szCs w:val="28"/>
              </w:rPr>
            </w:pPr>
            <w:r>
              <w:rPr>
                <w:rFonts w:hint="eastAsia" w:cs="Calibri"/>
                <w:bCs/>
                <w:sz w:val="28"/>
                <w:szCs w:val="28"/>
              </w:rPr>
              <w:t>序号</w:t>
            </w:r>
          </w:p>
        </w:tc>
        <w:tc>
          <w:tcPr>
            <w:tcW w:w="1952" w:type="dxa"/>
            <w:shd w:val="clear" w:color="auto" w:fill="auto"/>
            <w:noWrap w:val="0"/>
            <w:vAlign w:val="center"/>
          </w:tcPr>
          <w:p w14:paraId="115DC218">
            <w:pPr>
              <w:widowControl/>
              <w:snapToGrid w:val="0"/>
              <w:spacing w:line="300" w:lineRule="auto"/>
              <w:jc w:val="center"/>
              <w:rPr>
                <w:rFonts w:ascii="Calibri" w:hAnsi="Calibri" w:cs="Calibri"/>
                <w:bCs/>
                <w:sz w:val="28"/>
                <w:szCs w:val="28"/>
              </w:rPr>
            </w:pPr>
            <w:r>
              <w:rPr>
                <w:rFonts w:ascii="Calibri" w:hAnsi="Calibri" w:cs="Calibri"/>
                <w:bCs/>
                <w:sz w:val="28"/>
                <w:szCs w:val="28"/>
              </w:rPr>
              <w:t>服务内容</w:t>
            </w:r>
          </w:p>
        </w:tc>
        <w:tc>
          <w:tcPr>
            <w:tcW w:w="5548" w:type="dxa"/>
            <w:shd w:val="clear" w:color="auto" w:fill="auto"/>
            <w:noWrap w:val="0"/>
            <w:vAlign w:val="center"/>
          </w:tcPr>
          <w:p w14:paraId="2C1E7CF4">
            <w:pPr>
              <w:widowControl/>
              <w:snapToGrid w:val="0"/>
              <w:spacing w:line="300" w:lineRule="auto"/>
              <w:jc w:val="center"/>
              <w:rPr>
                <w:rFonts w:ascii="Calibri" w:hAnsi="Calibri" w:cs="Calibri"/>
                <w:bCs/>
                <w:sz w:val="28"/>
                <w:szCs w:val="28"/>
              </w:rPr>
            </w:pPr>
            <w:r>
              <w:rPr>
                <w:rFonts w:hint="eastAsia" w:cs="Calibri"/>
                <w:bCs/>
                <w:sz w:val="28"/>
                <w:szCs w:val="28"/>
              </w:rPr>
              <w:t>服务标准</w:t>
            </w:r>
          </w:p>
        </w:tc>
      </w:tr>
      <w:tr w14:paraId="654B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restart"/>
            <w:shd w:val="clear" w:color="auto" w:fill="auto"/>
            <w:noWrap w:val="0"/>
            <w:vAlign w:val="center"/>
          </w:tcPr>
          <w:p w14:paraId="54A1CC2B">
            <w:pPr>
              <w:widowControl/>
              <w:snapToGrid w:val="0"/>
              <w:spacing w:line="300" w:lineRule="auto"/>
              <w:jc w:val="center"/>
              <w:rPr>
                <w:rFonts w:ascii="仿宋" w:hAnsi="仿宋" w:eastAsia="仿宋"/>
                <w:sz w:val="24"/>
              </w:rPr>
            </w:pPr>
            <w:r>
              <w:rPr>
                <w:rFonts w:hint="eastAsia" w:ascii="仿宋" w:hAnsi="仿宋" w:eastAsia="仿宋"/>
                <w:sz w:val="24"/>
              </w:rPr>
              <w:t>1</w:t>
            </w:r>
          </w:p>
        </w:tc>
        <w:tc>
          <w:tcPr>
            <w:tcW w:w="3369" w:type="dxa"/>
            <w:vMerge w:val="restart"/>
            <w:shd w:val="clear" w:color="auto" w:fill="auto"/>
            <w:noWrap w:val="0"/>
            <w:vAlign w:val="center"/>
          </w:tcPr>
          <w:p w14:paraId="6AED31FA">
            <w:pPr>
              <w:widowControl/>
              <w:snapToGrid w:val="0"/>
              <w:spacing w:line="300" w:lineRule="auto"/>
              <w:rPr>
                <w:rFonts w:ascii="仿宋" w:hAnsi="仿宋" w:eastAsia="仿宋" w:cs="Calibri"/>
                <w:sz w:val="24"/>
              </w:rPr>
            </w:pPr>
            <w:r>
              <w:rPr>
                <w:rFonts w:hint="eastAsia" w:ascii="仿宋" w:hAnsi="仿宋" w:eastAsia="仿宋"/>
                <w:sz w:val="24"/>
              </w:rPr>
              <w:t>基本要求</w:t>
            </w:r>
          </w:p>
        </w:tc>
        <w:tc>
          <w:tcPr>
            <w:tcW w:w="9934" w:type="dxa"/>
            <w:shd w:val="clear" w:color="auto" w:fill="auto"/>
            <w:noWrap w:val="0"/>
            <w:vAlign w:val="center"/>
          </w:tcPr>
          <w:p w14:paraId="4595D8E5">
            <w:pPr>
              <w:widowControl/>
              <w:snapToGrid w:val="0"/>
              <w:spacing w:line="300" w:lineRule="auto"/>
              <w:jc w:val="left"/>
              <w:rPr>
                <w:rFonts w:ascii="仿宋" w:hAnsi="仿宋" w:eastAsia="仿宋" w:cs="仿宋"/>
                <w:sz w:val="24"/>
              </w:rPr>
            </w:pPr>
            <w:r>
              <w:rPr>
                <w:rFonts w:hint="eastAsia" w:ascii="仿宋" w:hAnsi="仿宋" w:eastAsia="仿宋" w:cs="仿宋"/>
                <w:sz w:val="24"/>
              </w:rPr>
              <w:t>（1）制定绿化服务的工作制度及工作计划，并按照执行。</w:t>
            </w:r>
          </w:p>
        </w:tc>
      </w:tr>
      <w:tr w14:paraId="4B98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shd w:val="clear" w:color="auto" w:fill="auto"/>
            <w:noWrap w:val="0"/>
            <w:vAlign w:val="center"/>
          </w:tcPr>
          <w:p w14:paraId="6C2F262B">
            <w:pPr>
              <w:widowControl/>
              <w:snapToGrid w:val="0"/>
              <w:spacing w:line="300" w:lineRule="auto"/>
              <w:jc w:val="center"/>
              <w:rPr>
                <w:rFonts w:ascii="仿宋" w:hAnsi="仿宋" w:eastAsia="仿宋"/>
                <w:sz w:val="24"/>
              </w:rPr>
            </w:pPr>
          </w:p>
        </w:tc>
        <w:tc>
          <w:tcPr>
            <w:tcW w:w="3369" w:type="dxa"/>
            <w:vMerge w:val="continue"/>
            <w:shd w:val="clear" w:color="auto" w:fill="auto"/>
            <w:noWrap w:val="0"/>
            <w:vAlign w:val="center"/>
          </w:tcPr>
          <w:p w14:paraId="11194DC4">
            <w:pPr>
              <w:widowControl/>
              <w:snapToGrid w:val="0"/>
              <w:spacing w:line="300" w:lineRule="auto"/>
              <w:rPr>
                <w:rFonts w:ascii="仿宋" w:hAnsi="仿宋" w:eastAsia="仿宋"/>
                <w:sz w:val="24"/>
              </w:rPr>
            </w:pPr>
          </w:p>
        </w:tc>
        <w:tc>
          <w:tcPr>
            <w:tcW w:w="9934" w:type="dxa"/>
            <w:shd w:val="clear" w:color="auto" w:fill="auto"/>
            <w:noWrap w:val="0"/>
            <w:vAlign w:val="center"/>
          </w:tcPr>
          <w:p w14:paraId="2DC187C4">
            <w:pPr>
              <w:widowControl/>
              <w:snapToGrid w:val="0"/>
              <w:spacing w:line="300" w:lineRule="auto"/>
              <w:jc w:val="left"/>
              <w:rPr>
                <w:rFonts w:ascii="仿宋" w:hAnsi="仿宋" w:eastAsia="仿宋" w:cs="仿宋"/>
                <w:sz w:val="24"/>
              </w:rPr>
            </w:pPr>
            <w:r>
              <w:rPr>
                <w:rFonts w:hint="eastAsia" w:ascii="仿宋" w:hAnsi="仿宋" w:eastAsia="仿宋" w:cs="仿宋"/>
                <w:sz w:val="24"/>
              </w:rPr>
              <w:t>（2）做好绿化服务工作记录，填写规范。</w:t>
            </w:r>
          </w:p>
        </w:tc>
      </w:tr>
      <w:tr w14:paraId="3A55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0" w:type="dxa"/>
            <w:vMerge w:val="continue"/>
            <w:shd w:val="clear" w:color="auto" w:fill="auto"/>
            <w:noWrap w:val="0"/>
            <w:vAlign w:val="center"/>
          </w:tcPr>
          <w:p w14:paraId="001AAEF5">
            <w:pPr>
              <w:widowControl/>
              <w:snapToGrid w:val="0"/>
              <w:spacing w:line="300" w:lineRule="auto"/>
              <w:jc w:val="center"/>
              <w:rPr>
                <w:rFonts w:ascii="仿宋" w:hAnsi="仿宋" w:eastAsia="仿宋"/>
                <w:sz w:val="24"/>
              </w:rPr>
            </w:pPr>
          </w:p>
        </w:tc>
        <w:tc>
          <w:tcPr>
            <w:tcW w:w="3369" w:type="dxa"/>
            <w:vMerge w:val="continue"/>
            <w:shd w:val="clear" w:color="auto" w:fill="auto"/>
            <w:noWrap w:val="0"/>
            <w:vAlign w:val="center"/>
          </w:tcPr>
          <w:p w14:paraId="6ADEE0B5">
            <w:pPr>
              <w:widowControl/>
              <w:snapToGrid w:val="0"/>
              <w:spacing w:line="300" w:lineRule="auto"/>
              <w:rPr>
                <w:rFonts w:ascii="仿宋" w:hAnsi="仿宋" w:eastAsia="仿宋"/>
                <w:sz w:val="24"/>
              </w:rPr>
            </w:pPr>
          </w:p>
        </w:tc>
        <w:tc>
          <w:tcPr>
            <w:tcW w:w="9934" w:type="dxa"/>
            <w:shd w:val="clear" w:color="auto" w:fill="auto"/>
            <w:noWrap w:val="0"/>
            <w:vAlign w:val="center"/>
          </w:tcPr>
          <w:p w14:paraId="76360032">
            <w:pPr>
              <w:widowControl/>
              <w:snapToGrid w:val="0"/>
              <w:spacing w:line="300" w:lineRule="auto"/>
              <w:jc w:val="left"/>
              <w:rPr>
                <w:rFonts w:ascii="仿宋" w:hAnsi="仿宋" w:eastAsia="仿宋" w:cs="仿宋"/>
                <w:sz w:val="24"/>
              </w:rPr>
            </w:pPr>
            <w:r>
              <w:rPr>
                <w:rFonts w:hint="eastAsia" w:ascii="仿宋" w:hAnsi="仿宋" w:eastAsia="仿宋" w:cs="仿宋"/>
                <w:sz w:val="24"/>
              </w:rPr>
              <w:t>（3）作业时采取安全防护措施，防止对作业人员或他人造成伤害。</w:t>
            </w:r>
          </w:p>
        </w:tc>
      </w:tr>
      <w:tr w14:paraId="2DC8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240" w:type="dxa"/>
            <w:vMerge w:val="continue"/>
            <w:shd w:val="clear" w:color="auto" w:fill="auto"/>
            <w:noWrap w:val="0"/>
            <w:vAlign w:val="center"/>
          </w:tcPr>
          <w:p w14:paraId="6BA02D4F">
            <w:pPr>
              <w:widowControl/>
              <w:snapToGrid w:val="0"/>
              <w:spacing w:line="300" w:lineRule="auto"/>
              <w:jc w:val="center"/>
              <w:rPr>
                <w:rFonts w:ascii="仿宋" w:hAnsi="仿宋" w:eastAsia="仿宋"/>
                <w:sz w:val="24"/>
              </w:rPr>
            </w:pPr>
          </w:p>
        </w:tc>
        <w:tc>
          <w:tcPr>
            <w:tcW w:w="3369" w:type="dxa"/>
            <w:vMerge w:val="continue"/>
            <w:shd w:val="clear" w:color="auto" w:fill="auto"/>
            <w:noWrap w:val="0"/>
            <w:vAlign w:val="center"/>
          </w:tcPr>
          <w:p w14:paraId="44EDDDEE">
            <w:pPr>
              <w:widowControl/>
              <w:snapToGrid w:val="0"/>
              <w:spacing w:line="300" w:lineRule="auto"/>
              <w:rPr>
                <w:rFonts w:ascii="仿宋" w:hAnsi="仿宋" w:eastAsia="仿宋" w:cs="Calibri"/>
                <w:sz w:val="24"/>
              </w:rPr>
            </w:pPr>
          </w:p>
        </w:tc>
        <w:tc>
          <w:tcPr>
            <w:tcW w:w="9934" w:type="dxa"/>
            <w:shd w:val="clear" w:color="auto" w:fill="auto"/>
            <w:noWrap w:val="0"/>
            <w:vAlign w:val="center"/>
          </w:tcPr>
          <w:p w14:paraId="6A1D7EF4">
            <w:pPr>
              <w:widowControl/>
              <w:snapToGrid w:val="0"/>
              <w:spacing w:line="300" w:lineRule="auto"/>
              <w:jc w:val="left"/>
              <w:rPr>
                <w:rFonts w:ascii="仿宋" w:hAnsi="仿宋" w:eastAsia="仿宋" w:cs="仿宋"/>
                <w:sz w:val="24"/>
              </w:rPr>
            </w:pPr>
            <w:r>
              <w:rPr>
                <w:rFonts w:hint="eastAsia" w:ascii="仿宋" w:hAnsi="仿宋" w:eastAsia="仿宋" w:cs="仿宋"/>
                <w:sz w:val="24"/>
              </w:rPr>
              <w:t>（4）相关耗材的环保、安全性应当符合规定要求。</w:t>
            </w:r>
          </w:p>
        </w:tc>
      </w:tr>
      <w:tr w14:paraId="13B1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restart"/>
            <w:shd w:val="clear" w:color="auto" w:fill="auto"/>
            <w:noWrap w:val="0"/>
            <w:vAlign w:val="center"/>
          </w:tcPr>
          <w:p w14:paraId="197F3038">
            <w:pPr>
              <w:widowControl/>
              <w:snapToGrid w:val="0"/>
              <w:spacing w:line="300" w:lineRule="auto"/>
              <w:jc w:val="center"/>
              <w:rPr>
                <w:rFonts w:ascii="仿宋" w:hAnsi="仿宋" w:eastAsia="仿宋"/>
                <w:sz w:val="24"/>
              </w:rPr>
            </w:pPr>
            <w:r>
              <w:rPr>
                <w:rFonts w:hint="eastAsia" w:ascii="仿宋" w:hAnsi="仿宋" w:eastAsia="仿宋"/>
                <w:sz w:val="24"/>
              </w:rPr>
              <w:t>2</w:t>
            </w:r>
          </w:p>
        </w:tc>
        <w:tc>
          <w:tcPr>
            <w:tcW w:w="1952" w:type="dxa"/>
            <w:vMerge w:val="restart"/>
            <w:shd w:val="clear" w:color="auto" w:fill="auto"/>
            <w:noWrap w:val="0"/>
            <w:vAlign w:val="center"/>
          </w:tcPr>
          <w:p w14:paraId="72988467">
            <w:pPr>
              <w:widowControl/>
              <w:snapToGrid w:val="0"/>
              <w:spacing w:line="300" w:lineRule="auto"/>
              <w:rPr>
                <w:rFonts w:ascii="仿宋" w:hAnsi="仿宋" w:eastAsia="仿宋" w:cs="Calibri"/>
                <w:sz w:val="24"/>
              </w:rPr>
            </w:pPr>
            <w:r>
              <w:rPr>
                <w:rFonts w:hint="eastAsia" w:ascii="仿宋" w:hAnsi="仿宋" w:eastAsia="仿宋"/>
                <w:sz w:val="24"/>
              </w:rPr>
              <w:t>绿化养护</w:t>
            </w:r>
          </w:p>
        </w:tc>
        <w:tc>
          <w:tcPr>
            <w:tcW w:w="5548" w:type="dxa"/>
            <w:shd w:val="clear" w:color="auto" w:fill="auto"/>
            <w:noWrap w:val="0"/>
            <w:vAlign w:val="center"/>
          </w:tcPr>
          <w:p w14:paraId="774EDD58">
            <w:pPr>
              <w:widowControl/>
              <w:snapToGrid w:val="0"/>
              <w:spacing w:line="300" w:lineRule="auto"/>
              <w:jc w:val="left"/>
              <w:rPr>
                <w:rFonts w:ascii="仿宋" w:hAnsi="仿宋" w:eastAsia="仿宋" w:cs="仿宋"/>
                <w:sz w:val="24"/>
              </w:rPr>
            </w:pPr>
            <w:r>
              <w:rPr>
                <w:rFonts w:hint="eastAsia" w:ascii="仿宋" w:hAnsi="仿宋" w:eastAsia="仿宋" w:cs="仿宋"/>
                <w:sz w:val="24"/>
              </w:rPr>
              <w:t>（1）根据生长环境、植物特性进行除草、灌溉、施肥、整形修剪、防治病虫害等。按土壤肥力、绿地种类、生长情况，适时适量施有机肥每年不少于</w:t>
            </w:r>
            <w:r>
              <w:rPr>
                <w:rFonts w:ascii="仿宋" w:hAnsi="仿宋" w:eastAsia="仿宋" w:cs="仿宋"/>
                <w:sz w:val="24"/>
              </w:rPr>
              <w:t>3</w:t>
            </w:r>
            <w:r>
              <w:rPr>
                <w:rFonts w:hint="eastAsia" w:ascii="仿宋" w:hAnsi="仿宋" w:eastAsia="仿宋" w:cs="仿宋"/>
                <w:sz w:val="24"/>
              </w:rPr>
              <w:t>次；</w:t>
            </w:r>
          </w:p>
        </w:tc>
      </w:tr>
      <w:tr w14:paraId="7CDC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41B176E6">
            <w:pPr>
              <w:widowControl/>
              <w:snapToGrid w:val="0"/>
              <w:spacing w:line="300" w:lineRule="auto"/>
              <w:jc w:val="center"/>
              <w:rPr>
                <w:rFonts w:ascii="仿宋" w:hAnsi="仿宋" w:eastAsia="仿宋"/>
                <w:sz w:val="24"/>
              </w:rPr>
            </w:pPr>
          </w:p>
        </w:tc>
        <w:tc>
          <w:tcPr>
            <w:tcW w:w="1952" w:type="dxa"/>
            <w:vMerge w:val="continue"/>
            <w:shd w:val="clear" w:color="auto" w:fill="auto"/>
            <w:noWrap w:val="0"/>
            <w:vAlign w:val="center"/>
          </w:tcPr>
          <w:p w14:paraId="3AB83876">
            <w:pPr>
              <w:widowControl/>
              <w:snapToGrid w:val="0"/>
              <w:spacing w:line="300" w:lineRule="auto"/>
              <w:rPr>
                <w:rFonts w:ascii="仿宋" w:hAnsi="仿宋" w:eastAsia="仿宋"/>
                <w:sz w:val="24"/>
              </w:rPr>
            </w:pPr>
          </w:p>
        </w:tc>
        <w:tc>
          <w:tcPr>
            <w:tcW w:w="5548" w:type="dxa"/>
            <w:shd w:val="clear" w:color="auto" w:fill="auto"/>
            <w:noWrap w:val="0"/>
            <w:vAlign w:val="center"/>
          </w:tcPr>
          <w:p w14:paraId="5556625E">
            <w:pPr>
              <w:widowControl/>
              <w:snapToGrid w:val="0"/>
              <w:spacing w:line="300" w:lineRule="auto"/>
              <w:jc w:val="left"/>
              <w:rPr>
                <w:rFonts w:ascii="仿宋" w:hAnsi="仿宋" w:eastAsia="仿宋" w:cs="仿宋"/>
                <w:sz w:val="24"/>
              </w:rPr>
            </w:pPr>
            <w:r>
              <w:rPr>
                <w:rFonts w:hint="eastAsia" w:ascii="仿宋" w:hAnsi="仿宋" w:eastAsia="仿宋" w:cs="仿宋"/>
                <w:sz w:val="24"/>
              </w:rPr>
              <w:t>（2）根据生长情况修剪绿地，绿地内无枯草、无杂物，无干枯坏死和病虫侵害，基本无裸露土地。</w:t>
            </w:r>
          </w:p>
        </w:tc>
      </w:tr>
      <w:tr w14:paraId="1966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786" w:type="dxa"/>
            <w:vMerge w:val="continue"/>
            <w:shd w:val="clear" w:color="auto" w:fill="auto"/>
            <w:noWrap w:val="0"/>
            <w:vAlign w:val="center"/>
          </w:tcPr>
          <w:p w14:paraId="63A65ACC">
            <w:pPr>
              <w:widowControl/>
              <w:snapToGrid w:val="0"/>
              <w:spacing w:line="300" w:lineRule="auto"/>
              <w:jc w:val="center"/>
              <w:rPr>
                <w:rFonts w:ascii="仿宋" w:hAnsi="仿宋" w:eastAsia="仿宋"/>
                <w:sz w:val="24"/>
              </w:rPr>
            </w:pPr>
          </w:p>
        </w:tc>
        <w:tc>
          <w:tcPr>
            <w:tcW w:w="1952" w:type="dxa"/>
            <w:vMerge w:val="continue"/>
            <w:shd w:val="clear" w:color="auto" w:fill="auto"/>
            <w:noWrap w:val="0"/>
            <w:vAlign w:val="center"/>
          </w:tcPr>
          <w:p w14:paraId="5F8962FC">
            <w:pPr>
              <w:widowControl/>
              <w:snapToGrid w:val="0"/>
              <w:spacing w:line="300" w:lineRule="auto"/>
              <w:rPr>
                <w:rFonts w:ascii="仿宋" w:hAnsi="仿宋" w:eastAsia="仿宋"/>
                <w:sz w:val="24"/>
              </w:rPr>
            </w:pPr>
          </w:p>
        </w:tc>
        <w:tc>
          <w:tcPr>
            <w:tcW w:w="5548" w:type="dxa"/>
            <w:shd w:val="clear" w:color="auto" w:fill="auto"/>
            <w:noWrap w:val="0"/>
            <w:vAlign w:val="center"/>
          </w:tcPr>
          <w:p w14:paraId="5FE51223">
            <w:pPr>
              <w:widowControl/>
              <w:snapToGrid w:val="0"/>
              <w:spacing w:line="300" w:lineRule="auto"/>
              <w:jc w:val="left"/>
              <w:rPr>
                <w:rFonts w:ascii="仿宋" w:hAnsi="仿宋" w:eastAsia="仿宋" w:cs="仿宋"/>
                <w:sz w:val="24"/>
              </w:rPr>
            </w:pPr>
            <w:r>
              <w:rPr>
                <w:rFonts w:hint="eastAsia" w:ascii="仿宋" w:hAnsi="仿宋" w:eastAsia="仿宋" w:cs="仿宋"/>
                <w:sz w:val="24"/>
              </w:rPr>
              <w:t>（3）定期修剪树木、花卉等，</w:t>
            </w:r>
            <w:r>
              <w:rPr>
                <w:rFonts w:ascii="仿宋" w:hAnsi="仿宋" w:eastAsia="仿宋" w:cs="仿宋"/>
                <w:sz w:val="24"/>
              </w:rPr>
              <w:t>灌乔木生长正常、造型美观自然、花枝新鲜，无枯叶、无病虫、无死树缺株</w:t>
            </w:r>
            <w:r>
              <w:rPr>
                <w:rFonts w:hint="eastAsia" w:ascii="仿宋" w:hAnsi="仿宋" w:eastAsia="仿宋" w:cs="仿宋"/>
                <w:sz w:val="24"/>
              </w:rPr>
              <w:t>。乔木修剪每年不少于</w:t>
            </w:r>
            <w:r>
              <w:rPr>
                <w:rFonts w:ascii="仿宋" w:hAnsi="仿宋" w:eastAsia="仿宋" w:cs="仿宋"/>
                <w:sz w:val="24"/>
              </w:rPr>
              <w:t>2</w:t>
            </w:r>
            <w:r>
              <w:rPr>
                <w:rFonts w:hint="eastAsia" w:ascii="仿宋" w:hAnsi="仿宋" w:eastAsia="仿宋" w:cs="仿宋"/>
                <w:sz w:val="24"/>
              </w:rPr>
              <w:t>次；树木缺株≤</w:t>
            </w:r>
            <w:r>
              <w:rPr>
                <w:rFonts w:ascii="仿宋" w:hAnsi="仿宋" w:eastAsia="仿宋" w:cs="仿宋"/>
                <w:sz w:val="24"/>
              </w:rPr>
              <w:t>5%</w:t>
            </w:r>
            <w:r>
              <w:rPr>
                <w:rFonts w:hint="eastAsia" w:ascii="仿宋" w:hAnsi="仿宋" w:eastAsia="仿宋" w:cs="仿宋"/>
                <w:sz w:val="24"/>
              </w:rPr>
              <w:t xml:space="preserve">，树干基本挺直； </w:t>
            </w:r>
          </w:p>
        </w:tc>
      </w:tr>
      <w:tr w14:paraId="7A0B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3F246DC8">
            <w:pPr>
              <w:widowControl/>
              <w:snapToGrid w:val="0"/>
              <w:spacing w:line="300" w:lineRule="auto"/>
              <w:jc w:val="center"/>
              <w:rPr>
                <w:rFonts w:ascii="仿宋" w:hAnsi="仿宋" w:eastAsia="仿宋"/>
                <w:sz w:val="24"/>
              </w:rPr>
            </w:pPr>
          </w:p>
        </w:tc>
        <w:tc>
          <w:tcPr>
            <w:tcW w:w="1952" w:type="dxa"/>
            <w:vMerge w:val="continue"/>
            <w:shd w:val="clear" w:color="auto" w:fill="auto"/>
            <w:noWrap w:val="0"/>
            <w:vAlign w:val="center"/>
          </w:tcPr>
          <w:p w14:paraId="248699B6">
            <w:pPr>
              <w:widowControl/>
              <w:snapToGrid w:val="0"/>
              <w:spacing w:line="300" w:lineRule="auto"/>
              <w:rPr>
                <w:rFonts w:ascii="仿宋" w:hAnsi="仿宋" w:eastAsia="仿宋"/>
                <w:sz w:val="24"/>
              </w:rPr>
            </w:pPr>
          </w:p>
        </w:tc>
        <w:tc>
          <w:tcPr>
            <w:tcW w:w="5548" w:type="dxa"/>
            <w:shd w:val="clear" w:color="auto" w:fill="auto"/>
            <w:noWrap w:val="0"/>
            <w:vAlign w:val="center"/>
          </w:tcPr>
          <w:p w14:paraId="69CC1531">
            <w:pPr>
              <w:widowControl/>
              <w:snapToGrid w:val="0"/>
              <w:spacing w:line="300" w:lineRule="auto"/>
              <w:jc w:val="left"/>
              <w:rPr>
                <w:rFonts w:ascii="仿宋" w:hAnsi="仿宋" w:eastAsia="仿宋" w:cs="仿宋"/>
                <w:sz w:val="24"/>
              </w:rPr>
            </w:pPr>
            <w:r>
              <w:rPr>
                <w:rFonts w:hint="eastAsia" w:ascii="仿宋" w:hAnsi="仿宋" w:eastAsia="仿宋" w:cs="仿宋"/>
                <w:sz w:val="24"/>
              </w:rPr>
              <w:t xml:space="preserve">（5）清除花坛和花景的花蒂、黄叶、杂草、垃圾，做好病虫害防治。 </w:t>
            </w:r>
          </w:p>
        </w:tc>
      </w:tr>
      <w:tr w14:paraId="06D5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01E977C8">
            <w:pPr>
              <w:widowControl/>
              <w:snapToGrid w:val="0"/>
              <w:spacing w:line="300" w:lineRule="auto"/>
              <w:jc w:val="center"/>
              <w:rPr>
                <w:rFonts w:ascii="仿宋" w:hAnsi="仿宋" w:eastAsia="仿宋"/>
                <w:sz w:val="24"/>
              </w:rPr>
            </w:pPr>
          </w:p>
        </w:tc>
        <w:tc>
          <w:tcPr>
            <w:tcW w:w="1952" w:type="dxa"/>
            <w:vMerge w:val="continue"/>
            <w:shd w:val="clear" w:color="auto" w:fill="auto"/>
            <w:noWrap w:val="0"/>
            <w:vAlign w:val="center"/>
          </w:tcPr>
          <w:p w14:paraId="66C6400E">
            <w:pPr>
              <w:widowControl/>
              <w:snapToGrid w:val="0"/>
              <w:spacing w:line="300" w:lineRule="auto"/>
              <w:rPr>
                <w:rFonts w:ascii="仿宋" w:hAnsi="仿宋" w:eastAsia="仿宋"/>
                <w:sz w:val="24"/>
              </w:rPr>
            </w:pPr>
          </w:p>
        </w:tc>
        <w:tc>
          <w:tcPr>
            <w:tcW w:w="5548" w:type="dxa"/>
            <w:shd w:val="clear" w:color="auto" w:fill="auto"/>
            <w:noWrap w:val="0"/>
            <w:vAlign w:val="center"/>
          </w:tcPr>
          <w:p w14:paraId="7ED80FE2">
            <w:pPr>
              <w:widowControl/>
              <w:snapToGrid w:val="0"/>
              <w:spacing w:line="300" w:lineRule="auto"/>
              <w:jc w:val="left"/>
              <w:rPr>
                <w:rFonts w:ascii="仿宋" w:hAnsi="仿宋" w:eastAsia="仿宋" w:cs="Calibri"/>
                <w:sz w:val="24"/>
              </w:rPr>
            </w:pPr>
            <w:r>
              <w:rPr>
                <w:rFonts w:hint="eastAsia" w:ascii="仿宋" w:hAnsi="仿宋" w:eastAsia="仿宋" w:cs="Calibri"/>
                <w:sz w:val="24"/>
              </w:rPr>
              <w:t>（6）水池水面定期清理，无枯枝落叶、水质清洁，</w:t>
            </w:r>
            <w:r>
              <w:rPr>
                <w:rFonts w:hint="eastAsia" w:ascii="仿宋" w:hAnsi="仿宋" w:eastAsia="仿宋"/>
                <w:sz w:val="24"/>
              </w:rPr>
              <w:t>绿地保洁每</w:t>
            </w:r>
            <w:r>
              <w:rPr>
                <w:rFonts w:ascii="仿宋" w:hAnsi="仿宋" w:eastAsia="仿宋"/>
                <w:sz w:val="24"/>
              </w:rPr>
              <w:t>2</w:t>
            </w:r>
            <w:r>
              <w:rPr>
                <w:rFonts w:hint="eastAsia" w:ascii="仿宋" w:hAnsi="仿宋" w:eastAsia="仿宋"/>
                <w:sz w:val="24"/>
              </w:rPr>
              <w:t>天不少于</w:t>
            </w:r>
            <w:r>
              <w:rPr>
                <w:rFonts w:ascii="仿宋" w:hAnsi="仿宋" w:eastAsia="仿宋"/>
                <w:sz w:val="24"/>
              </w:rPr>
              <w:t>1</w:t>
            </w:r>
            <w:r>
              <w:rPr>
                <w:rFonts w:hint="eastAsia" w:ascii="仿宋" w:hAnsi="仿宋" w:eastAsia="仿宋"/>
                <w:sz w:val="24"/>
              </w:rPr>
              <w:t>次；</w:t>
            </w:r>
          </w:p>
        </w:tc>
      </w:tr>
      <w:tr w14:paraId="7232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dxa"/>
            <w:vMerge w:val="continue"/>
            <w:shd w:val="clear" w:color="auto" w:fill="auto"/>
            <w:noWrap w:val="0"/>
            <w:vAlign w:val="center"/>
          </w:tcPr>
          <w:p w14:paraId="68F5F411">
            <w:pPr>
              <w:widowControl/>
              <w:snapToGrid w:val="0"/>
              <w:spacing w:line="300" w:lineRule="auto"/>
              <w:jc w:val="center"/>
              <w:rPr>
                <w:rFonts w:ascii="仿宋" w:hAnsi="仿宋" w:eastAsia="仿宋"/>
                <w:sz w:val="24"/>
              </w:rPr>
            </w:pPr>
          </w:p>
        </w:tc>
        <w:tc>
          <w:tcPr>
            <w:tcW w:w="1952" w:type="dxa"/>
            <w:vMerge w:val="continue"/>
            <w:shd w:val="clear" w:color="auto" w:fill="auto"/>
            <w:noWrap w:val="0"/>
            <w:vAlign w:val="center"/>
          </w:tcPr>
          <w:p w14:paraId="26C89693">
            <w:pPr>
              <w:widowControl/>
              <w:snapToGrid w:val="0"/>
              <w:spacing w:line="300" w:lineRule="auto"/>
              <w:rPr>
                <w:rFonts w:ascii="仿宋" w:hAnsi="仿宋" w:eastAsia="仿宋"/>
                <w:sz w:val="24"/>
              </w:rPr>
            </w:pPr>
          </w:p>
        </w:tc>
        <w:tc>
          <w:tcPr>
            <w:tcW w:w="5548" w:type="dxa"/>
            <w:shd w:val="clear" w:color="auto" w:fill="auto"/>
            <w:noWrap w:val="0"/>
            <w:vAlign w:val="center"/>
          </w:tcPr>
          <w:p w14:paraId="0C356E21">
            <w:pPr>
              <w:widowControl/>
              <w:snapToGrid w:val="0"/>
              <w:spacing w:line="300" w:lineRule="auto"/>
              <w:jc w:val="left"/>
              <w:rPr>
                <w:rFonts w:ascii="仿宋" w:hAnsi="仿宋" w:eastAsia="仿宋" w:cs="Calibri"/>
                <w:sz w:val="24"/>
              </w:rPr>
            </w:pPr>
            <w:r>
              <w:rPr>
                <w:rFonts w:hint="eastAsia" w:ascii="仿宋" w:hAnsi="仿宋" w:eastAsia="仿宋" w:cs="Calibri"/>
                <w:sz w:val="24"/>
              </w:rPr>
              <w:t>（7）根据病虫害发生规律实施综合治理，通常在病虫率高时，以药剂杀死病虫，以确保植物良好生长。</w:t>
            </w:r>
            <w:r>
              <w:rPr>
                <w:rFonts w:hint="eastAsia" w:ascii="仿宋" w:hAnsi="仿宋" w:eastAsia="仿宋"/>
                <w:sz w:val="24"/>
              </w:rPr>
              <w:t>树木整体枝叶受害率≤</w:t>
            </w:r>
            <w:r>
              <w:rPr>
                <w:rFonts w:ascii="仿宋" w:hAnsi="仿宋" w:eastAsia="仿宋"/>
                <w:sz w:val="24"/>
              </w:rPr>
              <w:t>10%</w:t>
            </w:r>
            <w:r>
              <w:rPr>
                <w:rFonts w:hint="eastAsia" w:ascii="仿宋" w:hAnsi="仿宋" w:eastAsia="仿宋"/>
                <w:sz w:val="24"/>
              </w:rPr>
              <w:t>，树干受害率≤</w:t>
            </w:r>
            <w:r>
              <w:rPr>
                <w:rFonts w:ascii="仿宋" w:hAnsi="仿宋" w:eastAsia="仿宋"/>
                <w:sz w:val="24"/>
              </w:rPr>
              <w:t>8%</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花卉缺株倒伏的花苗≤</w:t>
            </w:r>
            <w:r>
              <w:rPr>
                <w:rFonts w:ascii="仿宋" w:hAnsi="仿宋" w:eastAsia="仿宋"/>
                <w:sz w:val="24"/>
              </w:rPr>
              <w:t>7%</w:t>
            </w:r>
            <w:r>
              <w:rPr>
                <w:rFonts w:hint="eastAsia" w:ascii="仿宋" w:hAnsi="仿宋" w:eastAsia="仿宋"/>
                <w:sz w:val="24"/>
              </w:rPr>
              <w:t>，枯叶、残花量≤</w:t>
            </w:r>
            <w:r>
              <w:rPr>
                <w:rFonts w:ascii="仿宋" w:hAnsi="仿宋" w:eastAsia="仿宋"/>
                <w:sz w:val="24"/>
              </w:rPr>
              <w:t>5%</w:t>
            </w:r>
            <w:r>
              <w:rPr>
                <w:rFonts w:hint="eastAsia" w:ascii="仿宋" w:hAnsi="仿宋" w:eastAsia="仿宋"/>
                <w:sz w:val="24"/>
              </w:rPr>
              <w:t>；花卉植株受害率≤</w:t>
            </w:r>
            <w:r>
              <w:rPr>
                <w:rFonts w:ascii="仿宋" w:hAnsi="仿宋" w:eastAsia="仿宋"/>
                <w:sz w:val="24"/>
              </w:rPr>
              <w:t>8%</w:t>
            </w:r>
            <w:r>
              <w:rPr>
                <w:rFonts w:hint="eastAsia" w:ascii="仿宋" w:hAnsi="仿宋" w:eastAsia="仿宋"/>
                <w:sz w:val="24"/>
              </w:rPr>
              <w:t>；</w:t>
            </w:r>
            <w:r>
              <w:rPr>
                <w:rFonts w:hint="eastAsia" w:ascii="仿宋" w:hAnsi="仿宋" w:eastAsia="仿宋" w:cs="Calibri"/>
                <w:sz w:val="24"/>
              </w:rPr>
              <w:t>产生垃圾的主要区域和路段做到日产日清。</w:t>
            </w:r>
          </w:p>
        </w:tc>
      </w:tr>
      <w:tr w14:paraId="0B17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86" w:type="dxa"/>
            <w:vMerge w:val="continue"/>
            <w:shd w:val="clear" w:color="auto" w:fill="auto"/>
            <w:noWrap w:val="0"/>
            <w:vAlign w:val="center"/>
          </w:tcPr>
          <w:p w14:paraId="1AA8DECD">
            <w:pPr>
              <w:widowControl/>
              <w:snapToGrid w:val="0"/>
              <w:spacing w:line="300" w:lineRule="auto"/>
              <w:jc w:val="center"/>
              <w:rPr>
                <w:rFonts w:ascii="仿宋" w:hAnsi="仿宋" w:eastAsia="仿宋"/>
                <w:sz w:val="24"/>
              </w:rPr>
            </w:pPr>
          </w:p>
        </w:tc>
        <w:tc>
          <w:tcPr>
            <w:tcW w:w="1952" w:type="dxa"/>
            <w:vMerge w:val="continue"/>
            <w:shd w:val="clear" w:color="auto" w:fill="auto"/>
            <w:noWrap w:val="0"/>
            <w:vAlign w:val="center"/>
          </w:tcPr>
          <w:p w14:paraId="5B198A1C">
            <w:pPr>
              <w:widowControl/>
              <w:snapToGrid w:val="0"/>
              <w:spacing w:line="300" w:lineRule="auto"/>
              <w:rPr>
                <w:rFonts w:ascii="仿宋" w:hAnsi="仿宋" w:eastAsia="仿宋"/>
                <w:sz w:val="24"/>
              </w:rPr>
            </w:pPr>
          </w:p>
        </w:tc>
        <w:tc>
          <w:tcPr>
            <w:tcW w:w="5548" w:type="dxa"/>
            <w:shd w:val="clear" w:color="auto" w:fill="auto"/>
            <w:noWrap w:val="0"/>
            <w:vAlign w:val="center"/>
          </w:tcPr>
          <w:p w14:paraId="48F9B522">
            <w:pPr>
              <w:widowControl/>
              <w:snapToGrid w:val="0"/>
              <w:spacing w:line="300" w:lineRule="auto"/>
              <w:jc w:val="left"/>
              <w:rPr>
                <w:rFonts w:ascii="仿宋" w:hAnsi="仿宋" w:eastAsia="仿宋" w:cs="Calibri"/>
                <w:sz w:val="24"/>
              </w:rPr>
            </w:pPr>
            <w:r>
              <w:rPr>
                <w:rFonts w:hint="eastAsia" w:ascii="仿宋" w:hAnsi="仿宋" w:eastAsia="仿宋"/>
                <w:sz w:val="24"/>
              </w:rPr>
              <w:t>极端天气</w:t>
            </w:r>
            <w:r>
              <w:rPr>
                <w:rFonts w:ascii="仿宋" w:hAnsi="仿宋" w:eastAsia="仿宋"/>
                <w:sz w:val="24"/>
              </w:rPr>
              <w:t>(</w:t>
            </w:r>
            <w:r>
              <w:rPr>
                <w:rFonts w:hint="eastAsia" w:ascii="仿宋" w:hAnsi="仿宋" w:eastAsia="仿宋"/>
                <w:sz w:val="24"/>
              </w:rPr>
              <w:t>如台风</w:t>
            </w:r>
            <w:r>
              <w:rPr>
                <w:rFonts w:ascii="仿宋" w:hAnsi="仿宋" w:eastAsia="仿宋"/>
                <w:sz w:val="24"/>
              </w:rPr>
              <w:t>/</w:t>
            </w:r>
            <w:r>
              <w:rPr>
                <w:rFonts w:hint="eastAsia" w:ascii="仿宋" w:hAnsi="仿宋" w:eastAsia="仿宋"/>
                <w:sz w:val="24"/>
              </w:rPr>
              <w:t>暴雨</w:t>
            </w:r>
            <w:r>
              <w:rPr>
                <w:rFonts w:ascii="仿宋" w:hAnsi="仿宋" w:eastAsia="仿宋"/>
                <w:sz w:val="24"/>
              </w:rPr>
              <w:t>/</w:t>
            </w:r>
            <w:r>
              <w:rPr>
                <w:rFonts w:hint="eastAsia" w:ascii="仿宋" w:hAnsi="仿宋" w:eastAsia="仿宋"/>
                <w:sz w:val="24"/>
              </w:rPr>
              <w:t>干旱等极端天气</w:t>
            </w:r>
            <w:r>
              <w:rPr>
                <w:rFonts w:ascii="仿宋" w:hAnsi="仿宋" w:eastAsia="仿宋"/>
                <w:sz w:val="24"/>
              </w:rPr>
              <w:t>)</w:t>
            </w:r>
            <w:r>
              <w:rPr>
                <w:rFonts w:hint="eastAsia" w:ascii="仿宋" w:hAnsi="仿宋" w:eastAsia="仿宋"/>
                <w:sz w:val="24"/>
              </w:rPr>
              <w:t>应加强绿植加固、排水、抗旱措施，</w:t>
            </w:r>
            <w:r>
              <w:rPr>
                <w:rFonts w:hint="eastAsia" w:ascii="仿宋" w:hAnsi="仿宋" w:eastAsia="仿宋" w:cs="Calibri"/>
                <w:sz w:val="24"/>
              </w:rPr>
              <w:t>恶劣天气后，及时清除倒树断枝，疏通道路，尽快恢复原状。</w:t>
            </w:r>
          </w:p>
        </w:tc>
      </w:tr>
    </w:tbl>
    <w:p w14:paraId="0D9FAAE1">
      <w:pPr>
        <w:pStyle w:val="2"/>
        <w:rPr>
          <w:rFonts w:hint="eastAsia"/>
        </w:rPr>
      </w:pPr>
    </w:p>
    <w:p w14:paraId="7CB7A4EC">
      <w:pPr>
        <w:spacing w:line="360" w:lineRule="auto"/>
        <w:ind w:firstLine="480" w:firstLineChars="200"/>
        <w:rPr>
          <w:rFonts w:ascii="仿宋" w:hAnsi="仿宋" w:eastAsia="仿宋" w:cs="仿宋"/>
          <w:iCs/>
          <w:sz w:val="24"/>
        </w:rPr>
      </w:pPr>
      <w:r>
        <w:rPr>
          <w:rFonts w:ascii="仿宋" w:hAnsi="仿宋" w:eastAsia="仿宋" w:cs="仿宋"/>
          <w:iCs/>
          <w:sz w:val="24"/>
        </w:rPr>
        <w:t>★</w:t>
      </w:r>
      <w:r>
        <w:rPr>
          <w:rFonts w:hint="eastAsia" w:ascii="仿宋" w:hAnsi="仿宋" w:eastAsia="仿宋" w:cs="仿宋"/>
          <w:iCs/>
          <w:sz w:val="24"/>
        </w:rPr>
        <w:t>（四）人员配置要求</w:t>
      </w:r>
    </w:p>
    <w:p w14:paraId="51222F89">
      <w:pPr>
        <w:spacing w:line="360" w:lineRule="auto"/>
        <w:ind w:firstLine="480" w:firstLineChars="200"/>
        <w:rPr>
          <w:rFonts w:ascii="仿宋" w:hAnsi="仿宋" w:eastAsia="仿宋" w:cs="仿宋"/>
          <w:iCs/>
          <w:sz w:val="24"/>
        </w:rPr>
      </w:pPr>
      <w:r>
        <w:rPr>
          <w:rFonts w:hint="eastAsia" w:ascii="仿宋" w:hAnsi="仿宋" w:eastAsia="仿宋" w:cs="仿宋"/>
          <w:iCs/>
          <w:sz w:val="24"/>
        </w:rPr>
        <w:t>本项目总配置人数</w:t>
      </w:r>
      <w:r>
        <w:rPr>
          <w:rFonts w:ascii="仿宋" w:hAnsi="仿宋" w:eastAsia="仿宋" w:cs="仿宋"/>
          <w:iCs/>
          <w:sz w:val="24"/>
        </w:rPr>
        <w:t>33</w:t>
      </w:r>
      <w:r>
        <w:rPr>
          <w:rFonts w:hint="eastAsia" w:ascii="仿宋" w:hAnsi="仿宋" w:eastAsia="仿宋" w:cs="仿宋"/>
          <w:iCs/>
          <w:sz w:val="24"/>
        </w:rPr>
        <w:t>人（含）以上，必须配备：项目负责人1人，环境卫生绿化主管1人，楼宇管理服务主管1人，维修主管1人，电梯维修工，综合维修工、保洁员、绿化工等各类工种。</w:t>
      </w:r>
    </w:p>
    <w:p w14:paraId="2C782130">
      <w:pPr>
        <w:spacing w:line="360" w:lineRule="auto"/>
        <w:ind w:firstLine="482" w:firstLineChars="200"/>
        <w:rPr>
          <w:rFonts w:hint="eastAsia" w:ascii="仿宋" w:hAnsi="仿宋" w:eastAsia="仿宋" w:cs="仿宋"/>
          <w:b/>
          <w:iCs/>
          <w:sz w:val="24"/>
        </w:rPr>
      </w:pPr>
      <w:r>
        <w:rPr>
          <w:rFonts w:hint="eastAsia" w:ascii="仿宋" w:hAnsi="仿宋" w:eastAsia="仿宋" w:cs="仿宋"/>
          <w:b/>
          <w:iCs/>
          <w:sz w:val="24"/>
        </w:rPr>
        <w:t>具体服务内容以楼宇实际投入使用为准，未服务区域双方协商扣除相应服务费用。</w:t>
      </w:r>
    </w:p>
    <w:p w14:paraId="12460105">
      <w:pPr>
        <w:spacing w:line="360" w:lineRule="auto"/>
        <w:ind w:firstLine="480" w:firstLineChars="200"/>
        <w:rPr>
          <w:rFonts w:ascii="仿宋" w:hAnsi="仿宋" w:eastAsia="仿宋" w:cs="仿宋"/>
          <w:iCs/>
          <w:sz w:val="24"/>
        </w:rPr>
      </w:pPr>
      <w:r>
        <w:rPr>
          <w:rFonts w:ascii="仿宋" w:hAnsi="仿宋" w:eastAsia="仿宋" w:cs="仿宋"/>
          <w:iCs/>
          <w:sz w:val="24"/>
        </w:rPr>
        <w:t>★</w:t>
      </w:r>
      <w:r>
        <w:rPr>
          <w:rFonts w:hint="eastAsia" w:ascii="仿宋" w:hAnsi="仿宋" w:eastAsia="仿宋" w:cs="仿宋"/>
          <w:iCs/>
          <w:sz w:val="24"/>
        </w:rPr>
        <w:t>（五）人员管理要求</w:t>
      </w:r>
    </w:p>
    <w:p w14:paraId="2F4B2F17">
      <w:pPr>
        <w:spacing w:line="360" w:lineRule="auto"/>
        <w:ind w:firstLine="480" w:firstLineChars="200"/>
        <w:rPr>
          <w:rFonts w:ascii="仿宋" w:hAnsi="仿宋" w:eastAsia="仿宋" w:cs="仿宋"/>
          <w:iCs/>
          <w:sz w:val="24"/>
        </w:rPr>
      </w:pPr>
      <w:r>
        <w:rPr>
          <w:rFonts w:hint="eastAsia" w:ascii="仿宋" w:hAnsi="仿宋" w:eastAsia="仿宋" w:cs="仿宋"/>
          <w:iCs/>
          <w:sz w:val="24"/>
        </w:rPr>
        <w:t>1.采购人与派驻服务人员不发生任何劳动和雇佣关系，派驻服务人员由中标人自行管理，并按法律法规和地方政府的规定支付服务人员的工资、福利、保险、奖金、加班费等一切费用。</w:t>
      </w:r>
    </w:p>
    <w:p w14:paraId="39D9DB72">
      <w:pPr>
        <w:spacing w:line="360" w:lineRule="auto"/>
        <w:ind w:firstLine="480" w:firstLineChars="200"/>
        <w:rPr>
          <w:rFonts w:hint="eastAsia" w:ascii="仿宋" w:hAnsi="仿宋" w:eastAsia="仿宋" w:cs="仿宋"/>
          <w:iCs/>
          <w:sz w:val="24"/>
        </w:rPr>
      </w:pPr>
      <w:r>
        <w:rPr>
          <w:rFonts w:hint="eastAsia" w:ascii="仿宋" w:hAnsi="仿宋" w:eastAsia="仿宋" w:cs="仿宋"/>
          <w:iCs/>
          <w:sz w:val="24"/>
        </w:rPr>
        <w:t>2</w:t>
      </w:r>
      <w:r>
        <w:rPr>
          <w:rFonts w:ascii="仿宋" w:hAnsi="仿宋" w:eastAsia="仿宋" w:cs="仿宋"/>
          <w:iCs/>
          <w:sz w:val="24"/>
        </w:rPr>
        <w:t>.</w:t>
      </w:r>
      <w:r>
        <w:rPr>
          <w:rFonts w:hint="eastAsia" w:ascii="仿宋" w:hAnsi="仿宋" w:eastAsia="仿宋" w:cs="仿宋"/>
          <w:iCs/>
          <w:sz w:val="24"/>
        </w:rPr>
        <w:t>中标服务人员必须爱护甲方的各种设施、设备，并节约用水用电。由于乙方原因造成甲方财产损坏等事故，责任由乙方承担，乙方负责免费修复或按原价赔偿。</w:t>
      </w:r>
    </w:p>
    <w:p w14:paraId="3D5DFAFC">
      <w:pPr>
        <w:spacing w:line="360" w:lineRule="auto"/>
        <w:ind w:firstLine="480" w:firstLineChars="200"/>
        <w:rPr>
          <w:rFonts w:hint="eastAsia"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中标人必须加强本单位管理人员安全生产教育、培训工作，做到安全作业。在履行本合同期间，乙方工作人员如发生人身伤亡或造成其他责任事故，一切责任由乙方自行承担，与甲方无关。</w:t>
      </w:r>
    </w:p>
    <w:p w14:paraId="236FF7E7">
      <w:pPr>
        <w:spacing w:line="360" w:lineRule="auto"/>
        <w:ind w:firstLine="480" w:firstLineChars="200"/>
        <w:rPr>
          <w:rFonts w:ascii="仿宋" w:hAnsi="仿宋" w:eastAsia="仿宋" w:cs="仿宋"/>
          <w:iCs/>
          <w:sz w:val="24"/>
        </w:rPr>
      </w:pPr>
      <w:r>
        <w:rPr>
          <w:rFonts w:ascii="仿宋" w:hAnsi="仿宋" w:eastAsia="仿宋" w:cs="仿宋"/>
          <w:iCs/>
          <w:sz w:val="24"/>
        </w:rPr>
        <w:t>4</w:t>
      </w:r>
      <w:r>
        <w:rPr>
          <w:rFonts w:hint="eastAsia" w:ascii="仿宋" w:hAnsi="仿宋" w:eastAsia="仿宋" w:cs="仿宋"/>
          <w:iCs/>
          <w:sz w:val="24"/>
        </w:rPr>
        <w:t>.根据学校通知要求布置的临时性、突击性的值班、清洁等服务任务，中标人应接受并增派人员按时按质按量完成任务，发生的费用由中标人自行在投标报价时考虑，中标人自行承担，采购人不再另行支付服务费。</w:t>
      </w:r>
    </w:p>
    <w:p w14:paraId="7594CE23">
      <w:pPr>
        <w:spacing w:line="360" w:lineRule="auto"/>
        <w:ind w:firstLine="480" w:firstLineChars="200"/>
        <w:rPr>
          <w:rFonts w:ascii="仿宋" w:hAnsi="仿宋" w:eastAsia="仿宋" w:cs="仿宋"/>
          <w:iCs/>
          <w:sz w:val="24"/>
        </w:rPr>
      </w:pPr>
      <w:r>
        <w:rPr>
          <w:rFonts w:ascii="仿宋" w:hAnsi="仿宋" w:eastAsia="仿宋" w:cs="仿宋"/>
          <w:iCs/>
          <w:sz w:val="24"/>
        </w:rPr>
        <w:t>5</w:t>
      </w:r>
      <w:r>
        <w:rPr>
          <w:rFonts w:hint="eastAsia" w:ascii="仿宋" w:hAnsi="仿宋" w:eastAsia="仿宋" w:cs="仿宋"/>
          <w:iCs/>
          <w:sz w:val="24"/>
        </w:rPr>
        <w:t>.中标人的派驻服务人员应遵守安全操作规程，若工作时发生人身伤害等工伤事故，由中标人负责，与采购人无关。</w:t>
      </w:r>
    </w:p>
    <w:p w14:paraId="3A85BF76">
      <w:pPr>
        <w:spacing w:line="360" w:lineRule="auto"/>
        <w:ind w:firstLine="480" w:firstLineChars="200"/>
        <w:rPr>
          <w:rFonts w:ascii="仿宋" w:hAnsi="仿宋" w:eastAsia="仿宋" w:cs="仿宋"/>
          <w:iCs/>
          <w:sz w:val="24"/>
        </w:rPr>
      </w:pPr>
      <w:r>
        <w:rPr>
          <w:rFonts w:ascii="仿宋" w:hAnsi="仿宋" w:eastAsia="仿宋" w:cs="仿宋"/>
          <w:iCs/>
          <w:sz w:val="24"/>
        </w:rPr>
        <w:t>6</w:t>
      </w:r>
      <w:r>
        <w:rPr>
          <w:rFonts w:hint="eastAsia" w:ascii="仿宋" w:hAnsi="仿宋" w:eastAsia="仿宋" w:cs="仿宋"/>
          <w:iCs/>
          <w:sz w:val="24"/>
        </w:rPr>
        <w:t>.中标人全部工作人员应专职服务本项目，如遇特殊情况需借用本项目工作人员，须报请采购人批准，并保证本项目正常运行。</w:t>
      </w:r>
    </w:p>
    <w:p w14:paraId="5D5F0C86">
      <w:pPr>
        <w:spacing w:line="360" w:lineRule="auto"/>
        <w:ind w:firstLine="480" w:firstLineChars="200"/>
        <w:rPr>
          <w:rFonts w:hint="eastAsia" w:ascii="仿宋" w:hAnsi="仿宋" w:eastAsia="仿宋" w:cs="仿宋"/>
          <w:iCs/>
          <w:sz w:val="24"/>
        </w:rPr>
      </w:pPr>
      <w:r>
        <w:rPr>
          <w:rFonts w:ascii="仿宋" w:hAnsi="仿宋" w:eastAsia="仿宋" w:cs="仿宋"/>
          <w:iCs/>
          <w:sz w:val="24"/>
        </w:rPr>
        <w:t>7</w:t>
      </w:r>
      <w:r>
        <w:rPr>
          <w:rFonts w:hint="eastAsia" w:ascii="仿宋" w:hAnsi="仿宋" w:eastAsia="仿宋" w:cs="仿宋"/>
          <w:iCs/>
          <w:sz w:val="24"/>
        </w:rPr>
        <w:t>.投诉处理率 100%，且及时、妥善，有完整的记录档案。对年终考核不合格、存在严重违规违纪行为或危害老师或学生权益的人员应及时予以更换。</w:t>
      </w:r>
    </w:p>
    <w:p w14:paraId="3B2C05B6">
      <w:pPr>
        <w:spacing w:line="360" w:lineRule="auto"/>
        <w:ind w:firstLine="480" w:firstLineChars="200"/>
        <w:rPr>
          <w:rFonts w:ascii="仿宋" w:hAnsi="仿宋" w:eastAsia="仿宋" w:cs="仿宋"/>
          <w:iCs/>
          <w:sz w:val="24"/>
        </w:rPr>
      </w:pPr>
      <w:r>
        <w:rPr>
          <w:rFonts w:ascii="仿宋" w:hAnsi="仿宋" w:eastAsia="仿宋" w:cs="仿宋"/>
          <w:iCs/>
          <w:sz w:val="24"/>
        </w:rPr>
        <w:t>★</w:t>
      </w:r>
      <w:r>
        <w:rPr>
          <w:rFonts w:hint="eastAsia" w:ascii="仿宋" w:hAnsi="仿宋" w:eastAsia="仿宋" w:cs="仿宋"/>
          <w:iCs/>
          <w:sz w:val="24"/>
        </w:rPr>
        <w:t>（六）本项目采购预算：招标控制价为</w:t>
      </w:r>
      <w:r>
        <w:rPr>
          <w:rFonts w:ascii="仿宋" w:hAnsi="仿宋" w:eastAsia="仿宋" w:cs="仿宋"/>
          <w:iCs/>
          <w:sz w:val="24"/>
        </w:rPr>
        <w:t xml:space="preserve">230 </w:t>
      </w:r>
      <w:r>
        <w:rPr>
          <w:rFonts w:hint="eastAsia" w:ascii="仿宋" w:hAnsi="仿宋" w:eastAsia="仿宋" w:cs="仿宋"/>
          <w:iCs/>
          <w:sz w:val="24"/>
        </w:rPr>
        <w:t>万元</w:t>
      </w:r>
      <w:r>
        <w:rPr>
          <w:rFonts w:ascii="仿宋" w:hAnsi="仿宋" w:eastAsia="仿宋" w:cs="仿宋"/>
          <w:iCs/>
          <w:sz w:val="24"/>
        </w:rPr>
        <w:t>/</w:t>
      </w:r>
      <w:r>
        <w:rPr>
          <w:rFonts w:hint="eastAsia" w:ascii="仿宋" w:hAnsi="仿宋" w:eastAsia="仿宋" w:cs="仿宋"/>
          <w:iCs/>
          <w:sz w:val="24"/>
        </w:rPr>
        <w:t>年，服务期</w:t>
      </w:r>
      <w:r>
        <w:rPr>
          <w:rFonts w:ascii="仿宋" w:hAnsi="仿宋" w:eastAsia="仿宋" w:cs="仿宋"/>
          <w:iCs/>
          <w:sz w:val="24"/>
        </w:rPr>
        <w:t>3</w:t>
      </w:r>
      <w:r>
        <w:rPr>
          <w:rFonts w:hint="eastAsia" w:ascii="仿宋" w:hAnsi="仿宋" w:eastAsia="仿宋" w:cs="仿宋"/>
          <w:iCs/>
          <w:sz w:val="24"/>
        </w:rPr>
        <w:t>年，合计不高于</w:t>
      </w:r>
      <w:r>
        <w:rPr>
          <w:rFonts w:ascii="仿宋" w:hAnsi="仿宋" w:eastAsia="仿宋" w:cs="仿宋"/>
          <w:iCs/>
          <w:sz w:val="24"/>
        </w:rPr>
        <w:t xml:space="preserve">690 </w:t>
      </w:r>
      <w:r>
        <w:rPr>
          <w:rFonts w:hint="eastAsia" w:ascii="仿宋" w:hAnsi="仿宋" w:eastAsia="仿宋" w:cs="仿宋"/>
          <w:iCs/>
          <w:sz w:val="24"/>
        </w:rPr>
        <w:t>万元。</w:t>
      </w:r>
    </w:p>
    <w:p w14:paraId="0B9421DF">
      <w:pPr>
        <w:spacing w:line="360" w:lineRule="auto"/>
        <w:ind w:firstLine="480" w:firstLineChars="200"/>
        <w:rPr>
          <w:rFonts w:ascii="仿宋" w:hAnsi="仿宋" w:eastAsia="仿宋" w:cs="仿宋"/>
          <w:iCs/>
          <w:sz w:val="24"/>
        </w:rPr>
      </w:pPr>
      <w:r>
        <w:rPr>
          <w:rFonts w:ascii="仿宋" w:hAnsi="仿宋" w:eastAsia="仿宋" w:cs="仿宋"/>
          <w:iCs/>
          <w:sz w:val="24"/>
        </w:rPr>
        <w:t>★</w:t>
      </w:r>
      <w:r>
        <w:rPr>
          <w:rFonts w:hint="eastAsia" w:ascii="仿宋" w:hAnsi="仿宋" w:eastAsia="仿宋" w:cs="仿宋"/>
          <w:iCs/>
          <w:sz w:val="24"/>
        </w:rPr>
        <w:t>（七）履约时间、履约地点：该项目是物业管理服务，服务地点是海南热带海洋学院三亚校区，服务期限叁年，起止时间为:自2024年  月  日起至 2027年   月  日止。</w:t>
      </w:r>
    </w:p>
    <w:p w14:paraId="4E94022A">
      <w:pPr>
        <w:spacing w:line="360" w:lineRule="auto"/>
        <w:ind w:firstLine="480" w:firstLineChars="200"/>
        <w:rPr>
          <w:rFonts w:ascii="仿宋" w:hAnsi="仿宋" w:eastAsia="仿宋" w:cs="仿宋"/>
          <w:iCs/>
          <w:sz w:val="24"/>
        </w:rPr>
      </w:pPr>
      <w:r>
        <w:rPr>
          <w:rFonts w:ascii="仿宋" w:hAnsi="仿宋" w:eastAsia="仿宋" w:cs="仿宋"/>
          <w:iCs/>
          <w:sz w:val="24"/>
        </w:rPr>
        <w:t>★</w:t>
      </w:r>
      <w:r>
        <w:rPr>
          <w:rFonts w:hint="eastAsia" w:ascii="仿宋" w:hAnsi="仿宋" w:eastAsia="仿宋" w:cs="仿宋"/>
          <w:iCs/>
          <w:sz w:val="24"/>
        </w:rPr>
        <w:t xml:space="preserve">（八）验收                                                      </w:t>
      </w:r>
    </w:p>
    <w:p w14:paraId="56D37F7E">
      <w:pPr>
        <w:spacing w:line="360" w:lineRule="auto"/>
        <w:ind w:firstLine="480" w:firstLineChars="200"/>
        <w:rPr>
          <w:rFonts w:ascii="仿宋" w:hAnsi="仿宋" w:eastAsia="仿宋" w:cs="仿宋"/>
          <w:iCs/>
          <w:sz w:val="24"/>
        </w:rPr>
      </w:pPr>
      <w:r>
        <w:rPr>
          <w:rFonts w:hint="eastAsia" w:ascii="仿宋" w:hAnsi="仿宋" w:eastAsia="仿宋" w:cs="仿宋"/>
          <w:iCs/>
          <w:sz w:val="24"/>
        </w:rPr>
        <w:t>1</w:t>
      </w:r>
      <w:r>
        <w:rPr>
          <w:rFonts w:ascii="仿宋" w:hAnsi="仿宋" w:eastAsia="仿宋" w:cs="仿宋"/>
          <w:iCs/>
          <w:sz w:val="24"/>
        </w:rPr>
        <w:t>.</w:t>
      </w:r>
      <w:r>
        <w:rPr>
          <w:rFonts w:hint="eastAsia" w:ascii="仿宋" w:hAnsi="仿宋" w:eastAsia="仿宋" w:cs="仿宋"/>
          <w:iCs/>
          <w:sz w:val="24"/>
        </w:rPr>
        <w:t>验收人员：包括：①甲方，②校内外专家或其委托的第三方机构（如监理公司、评估机构等），③乙方等，具体参与人员以甲方最终确认为准。</w:t>
      </w:r>
    </w:p>
    <w:p w14:paraId="4C6B54E8">
      <w:pPr>
        <w:spacing w:line="360" w:lineRule="auto"/>
        <w:ind w:firstLine="480" w:firstLineChars="200"/>
        <w:rPr>
          <w:rFonts w:ascii="仿宋" w:hAnsi="仿宋" w:eastAsia="仿宋" w:cs="仿宋"/>
          <w:iCs/>
          <w:sz w:val="24"/>
        </w:rPr>
      </w:pPr>
      <w:r>
        <w:rPr>
          <w:rFonts w:hint="eastAsia" w:ascii="仿宋" w:hAnsi="仿宋" w:eastAsia="仿宋" w:cs="仿宋"/>
          <w:iCs/>
          <w:sz w:val="24"/>
        </w:rPr>
        <w:t>2</w:t>
      </w:r>
      <w:r>
        <w:rPr>
          <w:rFonts w:ascii="仿宋" w:hAnsi="仿宋" w:eastAsia="仿宋" w:cs="仿宋"/>
          <w:iCs/>
          <w:sz w:val="24"/>
        </w:rPr>
        <w:t>.</w:t>
      </w:r>
      <w:r>
        <w:rPr>
          <w:rFonts w:hint="eastAsia" w:ascii="仿宋" w:hAnsi="仿宋" w:eastAsia="仿宋" w:cs="仿宋"/>
          <w:iCs/>
          <w:sz w:val="24"/>
        </w:rPr>
        <w:t xml:space="preserve">履约验收时间：双方签订合同后每个季由各职能部门进行验收。                                   </w:t>
      </w:r>
    </w:p>
    <w:p w14:paraId="17431773">
      <w:pPr>
        <w:spacing w:line="360" w:lineRule="auto"/>
        <w:ind w:firstLine="480" w:firstLineChars="200"/>
        <w:rPr>
          <w:rFonts w:ascii="仿宋" w:hAnsi="仿宋" w:eastAsia="仿宋" w:cs="仿宋"/>
          <w:iCs/>
          <w:sz w:val="24"/>
        </w:rPr>
      </w:pPr>
      <w:r>
        <w:rPr>
          <w:rFonts w:hint="eastAsia" w:ascii="仿宋" w:hAnsi="仿宋" w:eastAsia="仿宋" w:cs="仿宋"/>
          <w:iCs/>
          <w:sz w:val="24"/>
        </w:rPr>
        <w:t>3</w:t>
      </w:r>
      <w:r>
        <w:rPr>
          <w:rFonts w:ascii="仿宋" w:hAnsi="仿宋" w:eastAsia="仿宋" w:cs="仿宋"/>
          <w:iCs/>
          <w:sz w:val="24"/>
        </w:rPr>
        <w:t>.</w:t>
      </w:r>
      <w:r>
        <w:rPr>
          <w:rFonts w:hint="eastAsia" w:ascii="仿宋" w:hAnsi="仿宋" w:eastAsia="仿宋" w:cs="仿宋"/>
          <w:iCs/>
          <w:sz w:val="24"/>
        </w:rPr>
        <w:t xml:space="preserve">履约验收方式：按招标文件、乙方投标文件和本合同规定标准进行验收。 </w:t>
      </w:r>
    </w:p>
    <w:p w14:paraId="216F84D9">
      <w:pPr>
        <w:spacing w:line="360" w:lineRule="auto"/>
        <w:ind w:firstLine="480" w:firstLineChars="200"/>
        <w:rPr>
          <w:rFonts w:ascii="仿宋" w:hAnsi="仿宋" w:eastAsia="仿宋" w:cs="仿宋"/>
          <w:iCs/>
          <w:sz w:val="24"/>
        </w:rPr>
      </w:pPr>
      <w:r>
        <w:rPr>
          <w:rFonts w:hint="eastAsia" w:ascii="仿宋" w:hAnsi="仿宋" w:eastAsia="仿宋" w:cs="仿宋"/>
          <w:iCs/>
          <w:sz w:val="24"/>
        </w:rPr>
        <w:t>4</w:t>
      </w:r>
      <w:r>
        <w:rPr>
          <w:rFonts w:ascii="仿宋" w:hAnsi="仿宋" w:eastAsia="仿宋" w:cs="仿宋"/>
          <w:iCs/>
          <w:sz w:val="24"/>
        </w:rPr>
        <w:t>.</w:t>
      </w:r>
      <w:r>
        <w:rPr>
          <w:rFonts w:hint="eastAsia" w:ascii="仿宋" w:hAnsi="仿宋" w:eastAsia="仿宋" w:cs="仿宋"/>
          <w:iCs/>
          <w:sz w:val="24"/>
        </w:rPr>
        <w:t xml:space="preserve">履约验收程序：每季度由各职能部门进行季度检查，然后由物业主管部门汇总结果。 </w:t>
      </w:r>
    </w:p>
    <w:p w14:paraId="7360A4AA">
      <w:pPr>
        <w:spacing w:line="360" w:lineRule="auto"/>
        <w:ind w:firstLine="480" w:firstLineChars="200"/>
        <w:rPr>
          <w:rFonts w:ascii="仿宋" w:hAnsi="仿宋" w:eastAsia="仿宋" w:cs="仿宋"/>
          <w:iCs/>
          <w:sz w:val="24"/>
        </w:rPr>
      </w:pPr>
      <w:r>
        <w:rPr>
          <w:rFonts w:hint="eastAsia" w:ascii="仿宋" w:hAnsi="仿宋" w:eastAsia="仿宋" w:cs="仿宋"/>
          <w:iCs/>
          <w:sz w:val="24"/>
        </w:rPr>
        <w:t>5</w:t>
      </w:r>
      <w:r>
        <w:rPr>
          <w:rFonts w:ascii="仿宋" w:hAnsi="仿宋" w:eastAsia="仿宋" w:cs="仿宋"/>
          <w:iCs/>
          <w:sz w:val="24"/>
        </w:rPr>
        <w:t>.</w:t>
      </w:r>
      <w:r>
        <w:rPr>
          <w:rFonts w:hint="eastAsia" w:ascii="仿宋" w:hAnsi="仿宋" w:eastAsia="仿宋" w:cs="仿宋"/>
          <w:iCs/>
          <w:sz w:val="24"/>
        </w:rPr>
        <w:t>履约验收内容：对应乙方的投标文件的技术和商务、人员要求等，结合甲方招标文件要求的标准为准则。</w:t>
      </w:r>
    </w:p>
    <w:p w14:paraId="6F38EB0B">
      <w:pPr>
        <w:spacing w:line="360" w:lineRule="auto"/>
        <w:ind w:firstLine="480" w:firstLineChars="200"/>
        <w:rPr>
          <w:rFonts w:ascii="仿宋" w:hAnsi="仿宋" w:eastAsia="仿宋" w:cs="仿宋"/>
          <w:iCs/>
          <w:sz w:val="24"/>
        </w:rPr>
      </w:pPr>
      <w:r>
        <w:rPr>
          <w:rFonts w:ascii="仿宋" w:hAnsi="仿宋" w:eastAsia="仿宋" w:cs="仿宋"/>
          <w:iCs/>
          <w:sz w:val="24"/>
        </w:rPr>
        <w:t>6.</w:t>
      </w:r>
      <w:r>
        <w:rPr>
          <w:rFonts w:hint="eastAsia" w:ascii="仿宋" w:hAnsi="仿宋" w:eastAsia="仿宋" w:cs="仿宋"/>
          <w:iCs/>
          <w:sz w:val="24"/>
        </w:rPr>
        <w:t>履约验收标准：按照《海南热带海洋学院三亚校区专家公寓楼、东盟合作教育综合楼、留学生公寓物业服务项目考核办法及检查标准》执行。</w:t>
      </w:r>
    </w:p>
    <w:p w14:paraId="12589421">
      <w:pPr>
        <w:spacing w:line="360" w:lineRule="auto"/>
        <w:ind w:firstLine="480" w:firstLineChars="200"/>
        <w:rPr>
          <w:rFonts w:ascii="仿宋" w:hAnsi="仿宋" w:eastAsia="仿宋" w:cs="仿宋"/>
          <w:iCs/>
          <w:sz w:val="24"/>
        </w:rPr>
      </w:pPr>
      <w:r>
        <w:rPr>
          <w:rFonts w:hint="eastAsia" w:ascii="仿宋" w:hAnsi="仿宋" w:eastAsia="仿宋" w:cs="仿宋"/>
          <w:iCs/>
          <w:sz w:val="24"/>
        </w:rPr>
        <w:t>7</w:t>
      </w:r>
      <w:r>
        <w:rPr>
          <w:rFonts w:ascii="仿宋" w:hAnsi="仿宋" w:eastAsia="仿宋" w:cs="仿宋"/>
          <w:iCs/>
          <w:sz w:val="24"/>
        </w:rPr>
        <w:t>.</w:t>
      </w:r>
      <w:r>
        <w:rPr>
          <w:rFonts w:hint="eastAsia" w:ascii="仿宋" w:hAnsi="仿宋" w:eastAsia="仿宋" w:cs="仿宋"/>
          <w:iCs/>
          <w:sz w:val="24"/>
        </w:rPr>
        <w:t>乙方需为验收提供必需的一切条件及相关费用，并提供本项目的相关文档和验收所需资料，积极配合甲方完成验收工作。</w:t>
      </w:r>
    </w:p>
    <w:p w14:paraId="564AB2D5">
      <w:pPr>
        <w:spacing w:line="360" w:lineRule="auto"/>
        <w:ind w:firstLine="480" w:firstLineChars="200"/>
        <w:rPr>
          <w:rFonts w:ascii="仿宋" w:hAnsi="仿宋" w:eastAsia="仿宋" w:cs="仿宋"/>
          <w:iCs/>
          <w:sz w:val="24"/>
        </w:rPr>
      </w:pPr>
      <w:r>
        <w:rPr>
          <w:rFonts w:ascii="仿宋" w:hAnsi="仿宋" w:eastAsia="仿宋" w:cs="仿宋"/>
          <w:iCs/>
          <w:sz w:val="24"/>
        </w:rPr>
        <w:t>★</w:t>
      </w:r>
      <w:r>
        <w:rPr>
          <w:rFonts w:hint="eastAsia" w:ascii="仿宋" w:hAnsi="仿宋" w:eastAsia="仿宋" w:cs="仿宋"/>
          <w:iCs/>
          <w:sz w:val="24"/>
        </w:rPr>
        <w:t>（九）奖惩机制</w:t>
      </w:r>
    </w:p>
    <w:p w14:paraId="1B2D89C9">
      <w:pPr>
        <w:spacing w:line="360" w:lineRule="auto"/>
        <w:ind w:firstLine="480" w:firstLineChars="200"/>
        <w:rPr>
          <w:rFonts w:ascii="仿宋" w:hAnsi="仿宋" w:eastAsia="仿宋" w:cs="仿宋"/>
          <w:iCs/>
          <w:sz w:val="24"/>
        </w:rPr>
      </w:pPr>
      <w:r>
        <w:rPr>
          <w:rFonts w:hint="eastAsia" w:ascii="仿宋" w:hAnsi="仿宋" w:eastAsia="仿宋" w:cs="仿宋"/>
          <w:iCs/>
          <w:sz w:val="24"/>
        </w:rPr>
        <w:t>1</w:t>
      </w:r>
      <w:r>
        <w:rPr>
          <w:rFonts w:ascii="仿宋" w:hAnsi="仿宋" w:eastAsia="仿宋" w:cs="仿宋"/>
          <w:iCs/>
          <w:sz w:val="24"/>
        </w:rPr>
        <w:t>.</w:t>
      </w:r>
      <w:r>
        <w:rPr>
          <w:rFonts w:hint="eastAsia" w:ascii="仿宋" w:hAnsi="仿宋" w:eastAsia="仿宋" w:cs="仿宋"/>
          <w:iCs/>
          <w:sz w:val="24"/>
        </w:rPr>
        <w:t>甲方对乙方的物业管理服务质量进行考核及季度扣罚，以季度为单位进行考核，上季的扣罚费用在下季的服务费内进行扣减。</w:t>
      </w:r>
    </w:p>
    <w:p w14:paraId="617504F5">
      <w:pPr>
        <w:spacing w:line="360" w:lineRule="auto"/>
        <w:ind w:firstLine="480" w:firstLineChars="200"/>
        <w:rPr>
          <w:rFonts w:ascii="仿宋" w:hAnsi="仿宋" w:eastAsia="仿宋" w:cs="仿宋"/>
          <w:iCs/>
          <w:sz w:val="24"/>
        </w:rPr>
      </w:pPr>
      <w:r>
        <w:rPr>
          <w:rFonts w:ascii="仿宋" w:hAnsi="仿宋" w:eastAsia="仿宋" w:cs="仿宋"/>
          <w:iCs/>
          <w:sz w:val="24"/>
        </w:rPr>
        <w:t>2.</w:t>
      </w:r>
      <w:r>
        <w:rPr>
          <w:rFonts w:hint="eastAsia" w:ascii="仿宋" w:hAnsi="仿宋" w:eastAsia="仿宋" w:cs="仿宋"/>
          <w:iCs/>
          <w:sz w:val="24"/>
        </w:rPr>
        <w:t>每季度物业管理费用＝中标合同金额合计÷物业管理服务的季度数-根据考核情况需要减值的部分费用。</w:t>
      </w:r>
    </w:p>
    <w:p w14:paraId="269C98E3">
      <w:pPr>
        <w:spacing w:line="360" w:lineRule="auto"/>
        <w:ind w:firstLine="480" w:firstLineChars="200"/>
        <w:rPr>
          <w:rFonts w:hint="eastAsia" w:ascii="仿宋" w:hAnsi="仿宋" w:eastAsia="仿宋" w:cs="仿宋"/>
          <w:iCs/>
          <w:sz w:val="24"/>
        </w:rPr>
      </w:pPr>
      <w:r>
        <w:rPr>
          <w:rFonts w:ascii="仿宋" w:hAnsi="仿宋" w:eastAsia="仿宋" w:cs="仿宋"/>
          <w:iCs/>
          <w:sz w:val="24"/>
        </w:rPr>
        <w:t>3</w:t>
      </w:r>
      <w:r>
        <w:rPr>
          <w:rFonts w:hint="eastAsia" w:ascii="仿宋" w:hAnsi="仿宋" w:eastAsia="仿宋" w:cs="仿宋"/>
          <w:iCs/>
          <w:sz w:val="24"/>
        </w:rPr>
        <w:t>.因乙方物业服务工作中失职或服务不达标，给甲方造成人员伤害或财产损失，乙方承担由此造成的全部责任。</w:t>
      </w:r>
    </w:p>
    <w:p w14:paraId="0C2038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3MjczNTMxNWVmYThjODE3ZDA4MDY3ZWZkMWNiZjAifQ=="/>
  </w:docVars>
  <w:rsids>
    <w:rsidRoot w:val="00000000"/>
    <w:rsid w:val="3EB001F1"/>
    <w:rsid w:val="4B8F2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新宋体"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styleId="3">
    <w:name w:val="annotation text"/>
    <w:basedOn w:val="1"/>
    <w:qFormat/>
    <w:uiPriority w:val="0"/>
    <w:rPr>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11945</Words>
  <Characters>12173</Characters>
  <Lines>0</Lines>
  <Paragraphs>0</Paragraphs>
  <TotalTime>5</TotalTime>
  <ScaleCrop>false</ScaleCrop>
  <LinksUpToDate>false</LinksUpToDate>
  <CharactersWithSpaces>12299</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2024-10-18T07:51:00Z</dcterms:created>
  <dc:creator>HUAWEI</dc:creator>
  <cp:lastModifiedBy>蓝天</cp:lastModifiedBy>
  <dcterms:modified xsi:type="dcterms:W3CDTF">2024-10-18T07:58:03Z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93983FA6589240DBB27E971C979088F1_12</vt:lpwstr>
  </property>
</Properties>
</file>